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0C5" w:rsidRPr="007440C5" w:rsidRDefault="007440C5" w:rsidP="007440C5"/>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right"/>
        <w:rPr>
          <w:rFonts w:eastAsia="Times New Roman" w:cs="Arial"/>
          <w:sz w:val="20"/>
          <w:szCs w:val="20"/>
          <w:lang w:eastAsia="en-GB"/>
        </w:rPr>
      </w:pPr>
      <w:r w:rsidRPr="007440C5">
        <w:rPr>
          <w:rFonts w:eastAsia="Times New Roman" w:cs="Arial"/>
          <w:sz w:val="20"/>
          <w:szCs w:val="20"/>
          <w:highlight w:val="yellow"/>
          <w:lang w:eastAsia="en-GB"/>
        </w:rPr>
        <w:t xml:space="preserve"> </w:t>
      </w:r>
    </w:p>
    <w:p w:rsidR="007440C5" w:rsidRPr="007440C5" w:rsidRDefault="007440C5" w:rsidP="007440C5">
      <w:pPr>
        <w:spacing w:after="0"/>
        <w:jc w:val="right"/>
        <w:rPr>
          <w:rFonts w:eastAsia="Times New Roman" w:cs="Arial"/>
          <w:b/>
          <w:sz w:val="20"/>
          <w:szCs w:val="20"/>
          <w:lang w:eastAsia="en-GB"/>
        </w:rPr>
      </w:pPr>
      <w:r w:rsidRPr="007440C5">
        <w:rPr>
          <w:rFonts w:eastAsia="Times New Roman" w:cs="Arial"/>
          <w:b/>
          <w:sz w:val="20"/>
          <w:szCs w:val="20"/>
          <w:highlight w:val="yellow"/>
          <w:lang w:eastAsia="en-GB"/>
        </w:rPr>
        <w:t>Draft</w:t>
      </w:r>
      <w:r w:rsidR="000F04D6">
        <w:rPr>
          <w:rFonts w:eastAsia="Times New Roman" w:cs="Arial"/>
          <w:b/>
          <w:sz w:val="20"/>
          <w:szCs w:val="20"/>
          <w:highlight w:val="yellow"/>
          <w:lang w:eastAsia="en-GB"/>
        </w:rPr>
        <w:t xml:space="preserve"> 1</w:t>
      </w:r>
      <w:r w:rsidR="000F04D6">
        <w:rPr>
          <w:rFonts w:eastAsia="Times New Roman" w:cs="Arial"/>
          <w:b/>
          <w:sz w:val="20"/>
          <w:szCs w:val="20"/>
          <w:lang w:eastAsia="en-GB"/>
        </w:rPr>
        <w:t>1</w:t>
      </w:r>
    </w:p>
    <w:p w:rsidR="007440C5" w:rsidRPr="007440C5" w:rsidRDefault="007E6B98" w:rsidP="007440C5">
      <w:pPr>
        <w:spacing w:after="0"/>
        <w:jc w:val="right"/>
        <w:rPr>
          <w:rFonts w:eastAsia="Times New Roman" w:cs="Arial"/>
          <w:b/>
          <w:sz w:val="20"/>
          <w:szCs w:val="20"/>
          <w:lang w:eastAsia="en-GB"/>
        </w:rPr>
      </w:pPr>
      <w:r>
        <w:rPr>
          <w:rFonts w:eastAsia="Times New Roman" w:cs="Arial"/>
          <w:b/>
          <w:sz w:val="20"/>
          <w:szCs w:val="20"/>
          <w:highlight w:val="yellow"/>
          <w:lang w:eastAsia="en-GB"/>
        </w:rPr>
        <w:t>0</w:t>
      </w:r>
      <w:r w:rsidR="000F04D6">
        <w:rPr>
          <w:rFonts w:eastAsia="Times New Roman" w:cs="Arial"/>
          <w:b/>
          <w:sz w:val="20"/>
          <w:szCs w:val="20"/>
          <w:highlight w:val="yellow"/>
          <w:lang w:eastAsia="en-GB"/>
        </w:rPr>
        <w:t>4</w:t>
      </w:r>
      <w:r>
        <w:rPr>
          <w:rFonts w:eastAsia="Times New Roman" w:cs="Arial"/>
          <w:b/>
          <w:sz w:val="20"/>
          <w:szCs w:val="20"/>
          <w:highlight w:val="yellow"/>
          <w:lang w:eastAsia="en-GB"/>
        </w:rPr>
        <w:t xml:space="preserve"> November</w:t>
      </w:r>
      <w:r w:rsidR="007440C5" w:rsidRPr="007440C5">
        <w:rPr>
          <w:rFonts w:eastAsia="Times New Roman" w:cs="Arial"/>
          <w:b/>
          <w:sz w:val="20"/>
          <w:szCs w:val="20"/>
          <w:highlight w:val="yellow"/>
          <w:lang w:eastAsia="en-GB"/>
        </w:rPr>
        <w:t xml:space="preserve"> 2014</w:t>
      </w: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center"/>
        <w:rPr>
          <w:rFonts w:eastAsia="Times New Roman" w:cs="Arial"/>
          <w:b/>
          <w:color w:val="008080"/>
          <w:sz w:val="48"/>
          <w:szCs w:val="48"/>
          <w:lang w:eastAsia="en-GB"/>
        </w:rPr>
      </w:pPr>
    </w:p>
    <w:p w:rsidR="007440C5" w:rsidRPr="007440C5" w:rsidRDefault="007440C5" w:rsidP="007440C5">
      <w:pPr>
        <w:spacing w:after="0"/>
        <w:jc w:val="center"/>
        <w:rPr>
          <w:rFonts w:eastAsia="Times New Roman" w:cs="Arial"/>
          <w:b/>
          <w:color w:val="008080"/>
          <w:sz w:val="48"/>
          <w:szCs w:val="48"/>
          <w:lang w:eastAsia="en-GB"/>
        </w:rPr>
      </w:pPr>
      <w:r w:rsidRPr="007440C5">
        <w:rPr>
          <w:rFonts w:eastAsia="Times New Roman" w:cs="Arial"/>
          <w:b/>
          <w:color w:val="008080"/>
          <w:sz w:val="48"/>
          <w:szCs w:val="48"/>
          <w:lang w:eastAsia="en-GB"/>
        </w:rPr>
        <w:t>Assessment of student residence patterns and the implications for future demand for student accommodation and local housing markets in Bradford</w:t>
      </w:r>
    </w:p>
    <w:p w:rsidR="007440C5" w:rsidRPr="007440C5" w:rsidRDefault="007440C5" w:rsidP="007440C5">
      <w:pPr>
        <w:spacing w:after="0"/>
        <w:jc w:val="both"/>
        <w:rPr>
          <w:rFonts w:eastAsia="Times New Roman" w:cs="Arial"/>
          <w:sz w:val="48"/>
          <w:szCs w:val="48"/>
          <w:lang w:eastAsia="en-GB"/>
        </w:rPr>
      </w:pPr>
    </w:p>
    <w:p w:rsidR="007440C5" w:rsidRPr="007440C5" w:rsidRDefault="007440C5" w:rsidP="007440C5">
      <w:pPr>
        <w:spacing w:after="0"/>
        <w:jc w:val="both"/>
        <w:rPr>
          <w:rFonts w:eastAsia="Times New Roman" w:cs="Arial"/>
          <w:sz w:val="48"/>
          <w:szCs w:val="48"/>
          <w:lang w:eastAsia="en-GB"/>
        </w:rPr>
      </w:pPr>
    </w:p>
    <w:p w:rsidR="007440C5" w:rsidRPr="007440C5" w:rsidRDefault="007440C5" w:rsidP="007440C5">
      <w:pPr>
        <w:spacing w:after="0"/>
        <w:jc w:val="both"/>
        <w:rPr>
          <w:rFonts w:eastAsia="Times New Roman" w:cs="Arial"/>
          <w:sz w:val="48"/>
          <w:szCs w:val="48"/>
          <w:lang w:eastAsia="en-GB"/>
        </w:rPr>
      </w:pPr>
    </w:p>
    <w:p w:rsidR="007440C5" w:rsidRPr="007440C5" w:rsidRDefault="007440C5" w:rsidP="007440C5">
      <w:pPr>
        <w:spacing w:after="0"/>
        <w:jc w:val="both"/>
        <w:rPr>
          <w:rFonts w:eastAsia="Times New Roman" w:cs="Arial"/>
          <w:sz w:val="28"/>
          <w:szCs w:val="28"/>
          <w:lang w:eastAsia="en-GB"/>
        </w:rPr>
      </w:pPr>
    </w:p>
    <w:p w:rsidR="007440C5" w:rsidRPr="007440C5" w:rsidRDefault="007440C5" w:rsidP="007440C5">
      <w:pPr>
        <w:spacing w:after="0"/>
        <w:jc w:val="both"/>
        <w:rPr>
          <w:rFonts w:eastAsia="Times New Roman" w:cs="Arial"/>
          <w:sz w:val="28"/>
          <w:szCs w:val="28"/>
          <w:lang w:eastAsia="en-GB"/>
        </w:rPr>
      </w:pPr>
      <w:r w:rsidRPr="007440C5">
        <w:rPr>
          <w:rFonts w:eastAsia="Times New Roman" w:cs="Arial"/>
          <w:sz w:val="28"/>
          <w:szCs w:val="28"/>
          <w:lang w:eastAsia="en-GB"/>
        </w:rPr>
        <w:t>Huw Jones, Unipol</w:t>
      </w:r>
    </w:p>
    <w:p w:rsidR="007440C5" w:rsidRPr="007440C5" w:rsidRDefault="007440C5" w:rsidP="007440C5">
      <w:pPr>
        <w:spacing w:after="0"/>
        <w:jc w:val="both"/>
        <w:rPr>
          <w:rFonts w:eastAsia="Times New Roman" w:cs="Arial"/>
          <w:sz w:val="28"/>
          <w:szCs w:val="28"/>
          <w:lang w:eastAsia="en-GB"/>
        </w:rPr>
      </w:pPr>
      <w:r w:rsidRPr="007440C5">
        <w:rPr>
          <w:rFonts w:eastAsia="Times New Roman" w:cs="Arial"/>
          <w:sz w:val="28"/>
          <w:szCs w:val="28"/>
          <w:lang w:eastAsia="en-GB"/>
        </w:rPr>
        <w:t>Martin Rushall, Unipol</w:t>
      </w:r>
    </w:p>
    <w:p w:rsidR="007440C5" w:rsidRPr="007440C5" w:rsidRDefault="007440C5" w:rsidP="007440C5">
      <w:pPr>
        <w:spacing w:after="0"/>
        <w:jc w:val="both"/>
        <w:rPr>
          <w:rFonts w:eastAsia="Times New Roman" w:cs="Arial"/>
          <w:sz w:val="28"/>
          <w:szCs w:val="28"/>
          <w:lang w:eastAsia="en-GB"/>
        </w:rPr>
      </w:pPr>
    </w:p>
    <w:p w:rsidR="007440C5" w:rsidRPr="007440C5" w:rsidRDefault="007440C5" w:rsidP="007440C5">
      <w:pPr>
        <w:spacing w:after="0"/>
        <w:jc w:val="both"/>
        <w:rPr>
          <w:rFonts w:eastAsia="Times New Roman" w:cs="Arial"/>
          <w:sz w:val="28"/>
          <w:szCs w:val="28"/>
          <w:highlight w:val="cyan"/>
          <w:lang w:eastAsia="en-GB"/>
        </w:rPr>
      </w:pPr>
    </w:p>
    <w:p w:rsidR="007440C5" w:rsidRPr="007440C5" w:rsidRDefault="007440C5" w:rsidP="007440C5">
      <w:pPr>
        <w:spacing w:after="0"/>
        <w:jc w:val="both"/>
        <w:rPr>
          <w:rFonts w:eastAsia="Times New Roman" w:cs="Arial"/>
          <w:sz w:val="28"/>
          <w:szCs w:val="28"/>
          <w:highlight w:val="cyan"/>
          <w:lang w:eastAsia="en-GB"/>
        </w:rPr>
      </w:pPr>
    </w:p>
    <w:p w:rsidR="007440C5" w:rsidRPr="007440C5" w:rsidRDefault="007440C5" w:rsidP="007440C5">
      <w:pPr>
        <w:spacing w:after="0"/>
        <w:jc w:val="both"/>
        <w:rPr>
          <w:rFonts w:eastAsia="Times New Roman" w:cs="Arial"/>
          <w:sz w:val="28"/>
          <w:szCs w:val="28"/>
          <w:highlight w:val="cyan"/>
          <w:lang w:eastAsia="en-GB"/>
        </w:rPr>
      </w:pPr>
    </w:p>
    <w:p w:rsidR="007440C5" w:rsidRPr="007440C5" w:rsidRDefault="007440C5" w:rsidP="007440C5">
      <w:pPr>
        <w:spacing w:after="0"/>
        <w:jc w:val="both"/>
        <w:rPr>
          <w:rFonts w:eastAsia="Times New Roman" w:cs="Arial"/>
          <w:sz w:val="28"/>
          <w:szCs w:val="28"/>
          <w:highlight w:val="cyan"/>
          <w:lang w:eastAsia="en-GB"/>
        </w:rPr>
      </w:pPr>
    </w:p>
    <w:p w:rsidR="007440C5" w:rsidRPr="007440C5" w:rsidRDefault="007440C5" w:rsidP="007440C5">
      <w:pPr>
        <w:spacing w:after="0"/>
        <w:jc w:val="both"/>
        <w:rPr>
          <w:rFonts w:eastAsia="Times New Roman" w:cs="Arial"/>
          <w:sz w:val="20"/>
          <w:szCs w:val="20"/>
          <w:lang w:eastAsia="en-GB"/>
        </w:rPr>
      </w:pPr>
    </w:p>
    <w:p w:rsidR="007440C5" w:rsidRPr="007440C5" w:rsidRDefault="007440C5" w:rsidP="007440C5">
      <w:pPr>
        <w:spacing w:after="0"/>
        <w:jc w:val="right"/>
        <w:rPr>
          <w:rFonts w:eastAsia="Times New Roman" w:cs="Arial"/>
          <w:sz w:val="20"/>
          <w:szCs w:val="20"/>
          <w:lang w:eastAsia="en-GB"/>
        </w:rPr>
      </w:pPr>
    </w:p>
    <w:p w:rsidR="007E6B98" w:rsidRPr="006A257C" w:rsidRDefault="007440C5" w:rsidP="007E6B98">
      <w:pPr>
        <w:spacing w:before="120" w:after="0"/>
        <w:outlineLvl w:val="0"/>
        <w:rPr>
          <w:rFonts w:eastAsia="Times New Roman" w:cs="Arial"/>
          <w:b/>
          <w:sz w:val="28"/>
          <w:szCs w:val="28"/>
          <w:lang w:eastAsia="en-GB"/>
        </w:rPr>
      </w:pPr>
      <w:r w:rsidRPr="007440C5">
        <w:rPr>
          <w:rFonts w:eastAsia="Times New Roman" w:cs="Arial"/>
          <w:sz w:val="20"/>
          <w:szCs w:val="20"/>
          <w:lang w:eastAsia="en-GB"/>
        </w:rPr>
        <w:br w:type="page"/>
      </w:r>
      <w:r w:rsidR="007E6B98">
        <w:rPr>
          <w:rFonts w:eastAsia="Times New Roman" w:cs="Arial"/>
          <w:b/>
          <w:sz w:val="28"/>
          <w:szCs w:val="28"/>
          <w:lang w:eastAsia="en-GB"/>
        </w:rPr>
        <w:lastRenderedPageBreak/>
        <w:t>Executive summary</w:t>
      </w:r>
    </w:p>
    <w:p w:rsidR="007E6B98" w:rsidRDefault="007E6B98" w:rsidP="007E6B98">
      <w:pPr>
        <w:spacing w:before="120" w:after="0"/>
        <w:outlineLvl w:val="0"/>
        <w:rPr>
          <w:rFonts w:eastAsia="Times New Roman" w:cs="Arial"/>
          <w:lang w:eastAsia="en-GB"/>
        </w:rPr>
      </w:pPr>
      <w:r>
        <w:rPr>
          <w:rFonts w:eastAsia="Times New Roman" w:cs="Arial"/>
          <w:b/>
          <w:lang w:eastAsia="en-GB"/>
        </w:rPr>
        <w:t xml:space="preserve">Context for the initiation of the </w:t>
      </w:r>
      <w:r w:rsidRPr="0072023C">
        <w:rPr>
          <w:rFonts w:eastAsia="Times New Roman" w:cs="Arial"/>
          <w:b/>
          <w:lang w:eastAsia="en-GB"/>
        </w:rPr>
        <w:t>research project</w:t>
      </w:r>
    </w:p>
    <w:p w:rsidR="007E6B98" w:rsidRDefault="007E6B98" w:rsidP="007E6B98">
      <w:pPr>
        <w:spacing w:before="120" w:after="0"/>
        <w:outlineLvl w:val="0"/>
        <w:rPr>
          <w:rFonts w:eastAsia="Times New Roman" w:cs="Arial"/>
          <w:lang w:eastAsia="en-GB"/>
        </w:rPr>
      </w:pPr>
      <w:r>
        <w:rPr>
          <w:rFonts w:eastAsia="Times New Roman" w:cs="Arial"/>
          <w:lang w:eastAsia="en-GB"/>
        </w:rPr>
        <w:t>Over the academic years 2009/10 – 2013/14 (the period which forms the parameters of this study), locally in Bradford and nationally, there has been significant change in the levels of:</w:t>
      </w:r>
    </w:p>
    <w:p w:rsidR="007E6B98" w:rsidRPr="002A66CD" w:rsidRDefault="007E6B98" w:rsidP="007E6B98">
      <w:pPr>
        <w:pStyle w:val="ListParagraph"/>
        <w:numPr>
          <w:ilvl w:val="0"/>
          <w:numId w:val="39"/>
        </w:numPr>
        <w:spacing w:before="120" w:after="0"/>
        <w:ind w:left="426" w:hanging="426"/>
        <w:outlineLvl w:val="0"/>
        <w:rPr>
          <w:rFonts w:eastAsia="Times New Roman" w:cs="Arial"/>
          <w:lang w:eastAsia="en-GB"/>
        </w:rPr>
      </w:pPr>
      <w:r w:rsidRPr="002A66CD">
        <w:rPr>
          <w:rFonts w:eastAsia="Times New Roman" w:cs="Arial"/>
          <w:lang w:eastAsia="en-GB"/>
        </w:rPr>
        <w:t>student numbers (demand)</w:t>
      </w:r>
    </w:p>
    <w:p w:rsidR="007E6B98" w:rsidRPr="002A66CD" w:rsidRDefault="007E6B98" w:rsidP="007E6B98">
      <w:pPr>
        <w:pStyle w:val="ListParagraph"/>
        <w:numPr>
          <w:ilvl w:val="0"/>
          <w:numId w:val="39"/>
        </w:numPr>
        <w:spacing w:before="120" w:after="0"/>
        <w:ind w:left="426" w:hanging="426"/>
        <w:outlineLvl w:val="0"/>
        <w:rPr>
          <w:rFonts w:eastAsia="Times New Roman" w:cs="Arial"/>
          <w:lang w:eastAsia="en-GB"/>
        </w:rPr>
      </w:pPr>
      <w:r w:rsidRPr="002A66CD">
        <w:rPr>
          <w:rFonts w:eastAsia="Times New Roman" w:cs="Arial"/>
          <w:lang w:eastAsia="en-GB"/>
        </w:rPr>
        <w:t>student accommodation (supply)</w:t>
      </w:r>
    </w:p>
    <w:p w:rsidR="007E6B98" w:rsidRPr="00E012D7" w:rsidRDefault="007E6B98" w:rsidP="007E6B98">
      <w:pPr>
        <w:spacing w:before="120" w:after="0"/>
        <w:outlineLvl w:val="0"/>
        <w:rPr>
          <w:rFonts w:eastAsia="Times New Roman" w:cs="Arial"/>
          <w:b/>
          <w:i/>
          <w:lang w:eastAsia="en-GB"/>
        </w:rPr>
      </w:pPr>
      <w:r>
        <w:rPr>
          <w:rFonts w:eastAsia="Times New Roman" w:cs="Arial"/>
          <w:b/>
          <w:i/>
          <w:lang w:eastAsia="en-GB"/>
        </w:rPr>
        <w:t>Student numbers</w:t>
      </w:r>
      <w:r w:rsidRPr="00E012D7">
        <w:rPr>
          <w:rFonts w:eastAsia="Times New Roman" w:cs="Arial"/>
          <w:b/>
          <w:i/>
          <w:lang w:eastAsia="en-GB"/>
        </w:rPr>
        <w:t>: the national context</w:t>
      </w:r>
    </w:p>
    <w:p w:rsidR="007E6B98" w:rsidRDefault="007E6B98" w:rsidP="007E6B98">
      <w:pPr>
        <w:spacing w:before="120" w:after="0"/>
        <w:outlineLvl w:val="0"/>
        <w:rPr>
          <w:rFonts w:eastAsia="Times New Roman" w:cs="Arial"/>
          <w:lang w:eastAsia="en-GB"/>
        </w:rPr>
      </w:pPr>
      <w:r>
        <w:rPr>
          <w:rFonts w:eastAsia="Times New Roman" w:cs="Arial"/>
          <w:lang w:eastAsia="en-GB"/>
        </w:rPr>
        <w:t xml:space="preserve">Initially in this period, student numbers continued their upward trajectory established over the preceding two decades. However, in the run-up to the implementation of major policy reform from autumn 2012 (a more laissez-faire market and the near trebling of tuition fees), intakes at higher education institutions (HEIs) increased sharply for 2011/12 as applicants shunned the gap year option to get in ahead of the fees hike. For 2012/13, the year the reform package was </w:t>
      </w:r>
      <w:proofErr w:type="gramStart"/>
      <w:r>
        <w:rPr>
          <w:rFonts w:eastAsia="Times New Roman" w:cs="Arial"/>
          <w:lang w:eastAsia="en-GB"/>
        </w:rPr>
        <w:t>introduced,</w:t>
      </w:r>
      <w:proofErr w:type="gramEnd"/>
      <w:r>
        <w:rPr>
          <w:rFonts w:eastAsia="Times New Roman" w:cs="Arial"/>
          <w:lang w:eastAsia="en-GB"/>
        </w:rPr>
        <w:t xml:space="preserve"> there was a sharp dip in intakes, since when numbers have recovered some ground. The market can be characterised as volatile. Underneath the headline figures, there have been signs of some emergent winners and losers in the student numbers game.  </w:t>
      </w:r>
    </w:p>
    <w:p w:rsidR="007E6B98" w:rsidRPr="00E012D7" w:rsidRDefault="007E6B98" w:rsidP="007E6B98">
      <w:pPr>
        <w:spacing w:before="120" w:after="0"/>
        <w:outlineLvl w:val="0"/>
        <w:rPr>
          <w:rFonts w:eastAsia="Times New Roman" w:cs="Arial"/>
          <w:b/>
          <w:lang w:eastAsia="en-GB"/>
        </w:rPr>
      </w:pPr>
      <w:r>
        <w:rPr>
          <w:rFonts w:eastAsia="Times New Roman" w:cs="Arial"/>
          <w:b/>
          <w:i/>
          <w:lang w:eastAsia="en-GB"/>
        </w:rPr>
        <w:t>Student numbers:</w:t>
      </w:r>
      <w:r w:rsidRPr="00E012D7">
        <w:rPr>
          <w:rFonts w:eastAsia="Times New Roman" w:cs="Arial"/>
          <w:b/>
          <w:i/>
          <w:lang w:eastAsia="en-GB"/>
        </w:rPr>
        <w:t xml:space="preserve"> Bradford</w:t>
      </w:r>
    </w:p>
    <w:p w:rsidR="007E6B98" w:rsidRDefault="007E6B98" w:rsidP="007E6B98">
      <w:pPr>
        <w:spacing w:before="120" w:after="0"/>
      </w:pPr>
      <w:r w:rsidRPr="00A55268">
        <w:rPr>
          <w:rFonts w:eastAsia="Times New Roman" w:cs="Arial"/>
          <w:lang w:eastAsia="en-GB"/>
        </w:rPr>
        <w:t>In Bradford, the picture has been somewhat different</w:t>
      </w:r>
      <w:r>
        <w:rPr>
          <w:rFonts w:eastAsia="Times New Roman" w:cs="Arial"/>
          <w:lang w:eastAsia="en-GB"/>
        </w:rPr>
        <w:t>:</w:t>
      </w:r>
      <w:r w:rsidRPr="00A55268">
        <w:t xml:space="preserve"> nationally between 2009/10 and 2013/14 there was a 2.83 per cent increase in full-time acceptances, </w:t>
      </w:r>
      <w:r>
        <w:t xml:space="preserve">but </w:t>
      </w:r>
      <w:r w:rsidRPr="00A55268">
        <w:t xml:space="preserve">at the University of Bradford student numbers declined by 22.21 per cent. For 2013/14 the University did not share in the sector bounce-back from the national low point in 2012/13 and suffered a further, although much reduced, contraction. </w:t>
      </w:r>
      <w:r>
        <w:t>Ov</w:t>
      </w:r>
      <w:r w:rsidRPr="00A55268">
        <w:t>er the same period Bradford College has experienced a sustained overall decline (18.5 per cent).</w:t>
      </w:r>
    </w:p>
    <w:p w:rsidR="007E6B98" w:rsidRDefault="007E6B98" w:rsidP="007E6B98">
      <w:pPr>
        <w:spacing w:before="120" w:after="0"/>
      </w:pPr>
      <w:r>
        <w:t>Additionally, Bradford has an unusually high proportion of full-time students attending from their home address and therefore without a residential need. This has traditionally been the case, but before the research had been undertaken there were already indications within the market that demand had dropped in excess of the decline in full-time student numbers, suggesting that the proportion of students attending from home had increased.</w:t>
      </w:r>
    </w:p>
    <w:p w:rsidR="007E6B98" w:rsidRPr="00E012D7" w:rsidRDefault="007E6B98" w:rsidP="007E6B98">
      <w:pPr>
        <w:spacing w:before="120" w:after="0"/>
        <w:rPr>
          <w:b/>
          <w:i/>
        </w:rPr>
      </w:pPr>
      <w:r w:rsidRPr="00E012D7">
        <w:rPr>
          <w:b/>
          <w:i/>
        </w:rPr>
        <w:t>The supply of student accommodation: the national context</w:t>
      </w:r>
    </w:p>
    <w:p w:rsidR="007E6B98" w:rsidRDefault="007E6B98" w:rsidP="007E6B98">
      <w:pPr>
        <w:spacing w:before="120" w:after="0"/>
      </w:pPr>
      <w:r>
        <w:t xml:space="preserve">In the meantime, on the supply side property investors have been attracted by PBSA opportunities which yield returns consistently higher than other options. As higher education has shifted </w:t>
      </w:r>
      <w:proofErr w:type="gramStart"/>
      <w:r>
        <w:t>from an</w:t>
      </w:r>
      <w:proofErr w:type="gramEnd"/>
      <w:r>
        <w:t xml:space="preserve"> elite to a mass enterprise over the last twenty years, commercial providers have moved in to meet the rapid and substantial increases in demand for student accommodation. This expansion in provision has been paralleled in many university host towns by an increase in off-street sharing housing available for students. More recently, a more volatile environment and localised downward pressure on student populations have challenged occupancy levels and served to intensify competition both within the purpose-built sector and between the purpose-built and the off-street shared housing sub-markets. If there has, however, been more uncertainty around demand latterly, this has not registered with the purpose-built sector.  Part of this is explained by pipeline lag, but it is also true that property investors still believe purpose-built student accommodation gives the best returns. This prevailing mood in the market is likely to continue, sustained by the removal of the cap on student numbers from 2015/16.</w:t>
      </w:r>
    </w:p>
    <w:p w:rsidR="007E6B98" w:rsidRDefault="007E6B98" w:rsidP="007E6B98">
      <w:pPr>
        <w:spacing w:before="120" w:after="0"/>
        <w:outlineLvl w:val="0"/>
        <w:rPr>
          <w:rFonts w:eastAsia="Times New Roman" w:cs="Arial"/>
          <w:lang w:eastAsia="en-GB"/>
        </w:rPr>
      </w:pPr>
      <w:r>
        <w:rPr>
          <w:rFonts w:eastAsia="Times New Roman" w:cs="Arial"/>
          <w:lang w:eastAsia="en-GB"/>
        </w:rPr>
        <w:t xml:space="preserve">The investment market has not been discriminating in gauging the relative performance of particular institutions in sustaining or raising recruitment levels. Whereas some HEIs have propped up residential </w:t>
      </w:r>
      <w:r>
        <w:rPr>
          <w:rFonts w:eastAsia="Times New Roman" w:cs="Arial"/>
          <w:lang w:eastAsia="en-GB"/>
        </w:rPr>
        <w:lastRenderedPageBreak/>
        <w:t>demand by holding the volume of new students steady, others have experienced significant degradation, which has caused substantial damage to local markets.</w:t>
      </w:r>
    </w:p>
    <w:p w:rsidR="007E6B98" w:rsidRPr="00E012D7" w:rsidRDefault="007E6B98" w:rsidP="007E6B98">
      <w:pPr>
        <w:spacing w:before="120" w:after="0"/>
        <w:outlineLvl w:val="0"/>
        <w:rPr>
          <w:rFonts w:eastAsia="Times New Roman" w:cs="Arial"/>
          <w:b/>
          <w:i/>
          <w:lang w:eastAsia="en-GB"/>
        </w:rPr>
      </w:pPr>
      <w:r w:rsidRPr="00E012D7">
        <w:rPr>
          <w:rFonts w:eastAsia="Times New Roman" w:cs="Arial"/>
          <w:b/>
          <w:i/>
          <w:lang w:eastAsia="en-GB"/>
        </w:rPr>
        <w:t>The supply of student accommodation in Bradford</w:t>
      </w:r>
    </w:p>
    <w:p w:rsidR="007E6B98" w:rsidRDefault="007E6B98" w:rsidP="007E6B98">
      <w:pPr>
        <w:spacing w:before="120" w:after="0"/>
        <w:outlineLvl w:val="0"/>
      </w:pPr>
      <w:r>
        <w:rPr>
          <w:rFonts w:eastAsia="Times New Roman" w:cs="Arial"/>
          <w:lang w:eastAsia="en-GB"/>
        </w:rPr>
        <w:t xml:space="preserve">Bradford is a host city that has seen declining student numbers with a residential need and, at the same time, a rapidly expanding purpose-built sector. </w:t>
      </w:r>
      <w:r w:rsidRPr="00A8677A">
        <w:t xml:space="preserve">Students in Bradford are accommodated through a mix of </w:t>
      </w:r>
      <w:r>
        <w:t xml:space="preserve">purpose-built student accommodation, </w:t>
      </w:r>
      <w:r w:rsidRPr="00A8677A">
        <w:t>run either by the University of Bradford, Bradford College or private sector providers; city centre located private rented apartments; and off-street shared private rented housing – or they live in their own or their parent</w:t>
      </w:r>
      <w:r>
        <w:t>s’</w:t>
      </w:r>
      <w:r w:rsidRPr="00A8677A">
        <w:t xml:space="preserve"> home.</w:t>
      </w:r>
      <w:r>
        <w:t xml:space="preserve"> On the basis of intelligence available before this study</w:t>
      </w:r>
      <w:r>
        <w:rPr>
          <w:rStyle w:val="FootnoteReference"/>
        </w:rPr>
        <w:footnoteReference w:id="1"/>
      </w:r>
      <w:r>
        <w:t>, the total supply amounted to between 5,500 and 6,000. Within this figure, 4,500 were purpose built and the remainder in the off-street shared housing sector.</w:t>
      </w:r>
    </w:p>
    <w:p w:rsidR="007E6B98" w:rsidRPr="00E012D7" w:rsidRDefault="007E6B98" w:rsidP="007E6B98">
      <w:pPr>
        <w:spacing w:before="120" w:after="0"/>
        <w:outlineLvl w:val="0"/>
        <w:rPr>
          <w:rFonts w:eastAsia="Times New Roman" w:cs="Arial"/>
          <w:b/>
          <w:i/>
          <w:lang w:eastAsia="en-GB"/>
        </w:rPr>
      </w:pPr>
      <w:r w:rsidRPr="00E012D7">
        <w:rPr>
          <w:rFonts w:eastAsia="Times New Roman" w:cs="Arial"/>
          <w:b/>
          <w:i/>
          <w:lang w:eastAsia="en-GB"/>
        </w:rPr>
        <w:t>Balance of supply and demand</w:t>
      </w:r>
      <w:r>
        <w:rPr>
          <w:rFonts w:eastAsia="Times New Roman" w:cs="Arial"/>
          <w:b/>
          <w:i/>
          <w:lang w:eastAsia="en-GB"/>
        </w:rPr>
        <w:t xml:space="preserve"> in Bradford</w:t>
      </w:r>
    </w:p>
    <w:p w:rsidR="007E6B98" w:rsidRDefault="007E6B98" w:rsidP="007E6B98">
      <w:pPr>
        <w:spacing w:before="120" w:after="0"/>
        <w:outlineLvl w:val="0"/>
        <w:rPr>
          <w:rFonts w:eastAsia="Times New Roman" w:cs="Arial"/>
          <w:lang w:eastAsia="en-GB"/>
        </w:rPr>
      </w:pPr>
      <w:r>
        <w:rPr>
          <w:rFonts w:eastAsia="Times New Roman" w:cs="Arial"/>
          <w:lang w:eastAsia="en-GB"/>
        </w:rPr>
        <w:t xml:space="preserve">On the basis of intelligence available before this study, the level of over-supply was running at between 1,000 and 1,500 bed spaces. </w:t>
      </w:r>
    </w:p>
    <w:p w:rsidR="007E6B98" w:rsidRPr="002D0E69" w:rsidRDefault="007E6B98" w:rsidP="007E6B98">
      <w:pPr>
        <w:spacing w:before="120" w:after="0"/>
        <w:outlineLvl w:val="0"/>
        <w:rPr>
          <w:rFonts w:eastAsia="Times New Roman" w:cs="Arial"/>
          <w:b/>
          <w:lang w:eastAsia="en-GB"/>
        </w:rPr>
      </w:pPr>
      <w:r w:rsidRPr="002D0E69">
        <w:rPr>
          <w:rFonts w:eastAsia="Times New Roman" w:cs="Arial"/>
          <w:b/>
          <w:lang w:eastAsia="en-GB"/>
        </w:rPr>
        <w:t>Purpose and objectives of research</w:t>
      </w:r>
    </w:p>
    <w:p w:rsidR="007E6B98" w:rsidRDefault="005B6FFA" w:rsidP="007E6B98">
      <w:pPr>
        <w:spacing w:before="120" w:after="0"/>
        <w:outlineLvl w:val="0"/>
        <w:rPr>
          <w:rFonts w:eastAsia="Times New Roman" w:cs="Arial"/>
          <w:lang w:eastAsia="en-GB"/>
        </w:rPr>
      </w:pPr>
      <w:r>
        <w:rPr>
          <w:rFonts w:eastAsia="Times New Roman" w:cs="Arial"/>
          <w:lang w:eastAsia="en-GB"/>
        </w:rPr>
        <w:t>The pu</w:t>
      </w:r>
      <w:r w:rsidR="007E6B98">
        <w:rPr>
          <w:rFonts w:eastAsia="Times New Roman" w:cs="Arial"/>
          <w:lang w:eastAsia="en-GB"/>
        </w:rPr>
        <w:t xml:space="preserve">rpose of this research is </w:t>
      </w:r>
      <w:r w:rsidR="007E6B98" w:rsidRPr="005404AD">
        <w:rPr>
          <w:rFonts w:eastAsia="Times New Roman" w:cs="Arial"/>
          <w:lang w:eastAsia="en-GB"/>
        </w:rPr>
        <w:t xml:space="preserve">to </w:t>
      </w:r>
      <w:r w:rsidR="007E6B98" w:rsidRPr="005404AD">
        <w:rPr>
          <w:rFonts w:eastAsia="Calibri" w:cs="Calibri"/>
          <w:lang w:eastAsia="en-GB"/>
        </w:rPr>
        <w:t xml:space="preserve">establish </w:t>
      </w:r>
      <w:r w:rsidR="007E6B98">
        <w:rPr>
          <w:rFonts w:eastAsia="Calibri" w:cs="Calibri"/>
          <w:lang w:eastAsia="en-GB"/>
        </w:rPr>
        <w:t xml:space="preserve">a </w:t>
      </w:r>
      <w:r w:rsidR="007E6B98" w:rsidRPr="005404AD">
        <w:rPr>
          <w:rFonts w:eastAsia="Calibri" w:cs="Calibri"/>
          <w:lang w:eastAsia="en-GB"/>
        </w:rPr>
        <w:t xml:space="preserve">reliable </w:t>
      </w:r>
      <w:r w:rsidR="007E6B98">
        <w:rPr>
          <w:rFonts w:eastAsia="Calibri" w:cs="Calibri"/>
          <w:lang w:eastAsia="en-GB"/>
        </w:rPr>
        <w:t xml:space="preserve">evidence base to inform debate on the </w:t>
      </w:r>
      <w:r w:rsidR="007E6B98" w:rsidRPr="005404AD">
        <w:rPr>
          <w:rFonts w:eastAsia="Calibri" w:cs="Calibri"/>
          <w:lang w:eastAsia="en-GB"/>
        </w:rPr>
        <w:t>current and future environment and on opt</w:t>
      </w:r>
      <w:r w:rsidR="007E6B98">
        <w:rPr>
          <w:rFonts w:eastAsia="Calibri" w:cs="Calibri"/>
          <w:lang w:eastAsia="en-GB"/>
        </w:rPr>
        <w:t xml:space="preserve">ions for intervention; and </w:t>
      </w:r>
      <w:r w:rsidR="007E6B98" w:rsidRPr="005404AD">
        <w:rPr>
          <w:rFonts w:eastAsia="Calibri" w:cs="Calibri"/>
          <w:lang w:eastAsia="en-GB"/>
        </w:rPr>
        <w:t>to help stakeholders adjust their business models appropriately.</w:t>
      </w:r>
      <w:r w:rsidR="007E6B98">
        <w:rPr>
          <w:rFonts w:eastAsia="Calibri" w:cs="Calibri"/>
          <w:lang w:eastAsia="en-GB"/>
        </w:rPr>
        <w:t xml:space="preserve"> </w:t>
      </w:r>
      <w:r w:rsidR="007E6B98" w:rsidRPr="002D0E69">
        <w:rPr>
          <w:rFonts w:eastAsia="Calibri" w:cs="Calibri"/>
          <w:lang w:eastAsia="en-GB"/>
        </w:rPr>
        <w:t>Objectives include</w:t>
      </w:r>
      <w:r w:rsidR="007E6B98" w:rsidRPr="002D0E69">
        <w:rPr>
          <w:rFonts w:eastAsia="Times New Roman" w:cs="Arial"/>
          <w:lang w:eastAsia="en-GB"/>
        </w:rPr>
        <w:t xml:space="preserve"> identify</w:t>
      </w:r>
      <w:r w:rsidR="007E6B98">
        <w:rPr>
          <w:rFonts w:eastAsia="Times New Roman" w:cs="Arial"/>
          <w:lang w:eastAsia="en-GB"/>
        </w:rPr>
        <w:t>ing</w:t>
      </w:r>
      <w:r w:rsidR="007E6B98" w:rsidRPr="002D0E69">
        <w:rPr>
          <w:rFonts w:eastAsia="Times New Roman" w:cs="Arial"/>
          <w:lang w:eastAsia="en-GB"/>
        </w:rPr>
        <w:t xml:space="preserve"> patterns of provision and current use and likely future accommodation needs</w:t>
      </w:r>
      <w:r w:rsidR="007E6B98">
        <w:rPr>
          <w:rFonts w:eastAsia="Times New Roman" w:cs="Arial"/>
          <w:lang w:eastAsia="en-GB"/>
        </w:rPr>
        <w:t xml:space="preserve">; and </w:t>
      </w:r>
      <w:r w:rsidR="007E6B98" w:rsidRPr="002D0E69">
        <w:rPr>
          <w:rFonts w:eastAsia="Times New Roman" w:cs="Arial"/>
          <w:lang w:eastAsia="en-GB"/>
        </w:rPr>
        <w:t>investigat</w:t>
      </w:r>
      <w:r w:rsidR="007E6B98">
        <w:rPr>
          <w:rFonts w:eastAsia="Times New Roman" w:cs="Arial"/>
          <w:lang w:eastAsia="en-GB"/>
        </w:rPr>
        <w:t>ing</w:t>
      </w:r>
      <w:r w:rsidR="007E6B98" w:rsidRPr="002D0E69">
        <w:rPr>
          <w:rFonts w:eastAsia="Times New Roman" w:cs="Arial"/>
          <w:lang w:eastAsia="en-GB"/>
        </w:rPr>
        <w:t xml:space="preserve"> and evaluat</w:t>
      </w:r>
      <w:r w:rsidR="007E6B98">
        <w:rPr>
          <w:rFonts w:eastAsia="Times New Roman" w:cs="Arial"/>
          <w:lang w:eastAsia="en-GB"/>
        </w:rPr>
        <w:t>ing</w:t>
      </w:r>
      <w:r w:rsidR="007E6B98" w:rsidRPr="002D0E69">
        <w:rPr>
          <w:rFonts w:eastAsia="Times New Roman" w:cs="Arial"/>
          <w:lang w:eastAsia="en-GB"/>
        </w:rPr>
        <w:t xml:space="preserve"> whether </w:t>
      </w:r>
      <w:r w:rsidR="007E6B98">
        <w:rPr>
          <w:rFonts w:eastAsia="Times New Roman" w:cs="Arial"/>
          <w:lang w:eastAsia="en-GB"/>
        </w:rPr>
        <w:t>existing provision</w:t>
      </w:r>
      <w:r w:rsidR="007E6B98" w:rsidRPr="002D0E69">
        <w:rPr>
          <w:rFonts w:eastAsia="Times New Roman" w:cs="Arial"/>
          <w:lang w:eastAsia="en-GB"/>
        </w:rPr>
        <w:t xml:space="preserve"> meets the demand and preference of students and their parents</w:t>
      </w:r>
      <w:r w:rsidR="007E6B98">
        <w:rPr>
          <w:rFonts w:eastAsia="Times New Roman" w:cs="Arial"/>
          <w:lang w:eastAsia="en-GB"/>
        </w:rPr>
        <w:t xml:space="preserve">. </w:t>
      </w:r>
      <w:r>
        <w:rPr>
          <w:rFonts w:eastAsia="Times New Roman" w:cs="Arial"/>
          <w:lang w:eastAsia="en-GB"/>
        </w:rPr>
        <w:t>Part of the</w:t>
      </w:r>
      <w:r w:rsidR="007E6B98">
        <w:rPr>
          <w:rFonts w:eastAsia="Times New Roman" w:cs="Arial"/>
          <w:lang w:eastAsia="en-GB"/>
        </w:rPr>
        <w:t xml:space="preserve"> r</w:t>
      </w:r>
      <w:r w:rsidR="007E6B98" w:rsidRPr="002D0E69">
        <w:rPr>
          <w:rFonts w:eastAsia="Calibri" w:cs="Calibri"/>
          <w:lang w:eastAsia="en-GB"/>
        </w:rPr>
        <w:t xml:space="preserve">esearch </w:t>
      </w:r>
      <w:r>
        <w:rPr>
          <w:rFonts w:eastAsia="Calibri" w:cs="Calibri"/>
          <w:lang w:eastAsia="en-GB"/>
        </w:rPr>
        <w:t>brief was to</w:t>
      </w:r>
      <w:r w:rsidR="007E6B98" w:rsidRPr="002D0E69">
        <w:rPr>
          <w:rFonts w:eastAsia="Calibri" w:cs="Calibri"/>
          <w:lang w:eastAsia="en-GB"/>
        </w:rPr>
        <w:t xml:space="preserve"> identify</w:t>
      </w:r>
      <w:r w:rsidR="007E6B98">
        <w:rPr>
          <w:rFonts w:eastAsia="Calibri" w:cs="Calibri"/>
          <w:lang w:eastAsia="en-GB"/>
        </w:rPr>
        <w:t xml:space="preserve">, </w:t>
      </w:r>
      <w:r w:rsidR="007E6B98" w:rsidRPr="002D0E69">
        <w:rPr>
          <w:rFonts w:eastAsia="Calibri" w:cs="Calibri"/>
          <w:i/>
          <w:lang w:eastAsia="en-GB"/>
        </w:rPr>
        <w:t xml:space="preserve">inter </w:t>
      </w:r>
      <w:r w:rsidR="007E6B98" w:rsidRPr="000A64AB">
        <w:rPr>
          <w:rFonts w:eastAsia="Calibri" w:cs="Calibri"/>
          <w:i/>
          <w:lang w:eastAsia="en-GB"/>
        </w:rPr>
        <w:t>alia</w:t>
      </w:r>
      <w:r w:rsidR="007E6B98">
        <w:rPr>
          <w:rFonts w:eastAsia="Calibri" w:cs="Calibri"/>
          <w:lang w:eastAsia="en-GB"/>
        </w:rPr>
        <w:t xml:space="preserve">, </w:t>
      </w:r>
      <w:r w:rsidR="007E6B98" w:rsidRPr="005404AD">
        <w:rPr>
          <w:rFonts w:eastAsia="Times New Roman" w:cs="Arial"/>
          <w:lang w:eastAsia="en-GB"/>
        </w:rPr>
        <w:t>changes in student residence and demand between 2009 and 2014</w:t>
      </w:r>
      <w:r w:rsidR="007E6B98">
        <w:rPr>
          <w:rFonts w:eastAsia="Times New Roman" w:cs="Arial"/>
          <w:lang w:eastAsia="en-GB"/>
        </w:rPr>
        <w:t xml:space="preserve"> and </w:t>
      </w:r>
      <w:r w:rsidR="007E6B98" w:rsidRPr="00225A77">
        <w:rPr>
          <w:rFonts w:eastAsia="Times New Roman" w:cs="Arial"/>
          <w:lang w:eastAsia="en-GB"/>
        </w:rPr>
        <w:t>the impacts of the building of substantial stocks of purpose-built accommodation in Bradford</w:t>
      </w:r>
      <w:r w:rsidR="007E6B98">
        <w:rPr>
          <w:rFonts w:eastAsia="Times New Roman" w:cs="Arial"/>
          <w:lang w:eastAsia="en-GB"/>
        </w:rPr>
        <w:t>.</w:t>
      </w:r>
    </w:p>
    <w:p w:rsidR="007E6B98" w:rsidRDefault="007E6B98" w:rsidP="007E6B98">
      <w:pPr>
        <w:spacing w:before="120" w:after="0"/>
        <w:outlineLvl w:val="0"/>
        <w:rPr>
          <w:rFonts w:eastAsia="Times New Roman" w:cs="Arial"/>
          <w:b/>
          <w:lang w:eastAsia="en-GB"/>
        </w:rPr>
      </w:pPr>
      <w:r w:rsidRPr="00225A77">
        <w:rPr>
          <w:rFonts w:eastAsia="Times New Roman" w:cs="Arial"/>
          <w:b/>
          <w:lang w:eastAsia="en-GB"/>
        </w:rPr>
        <w:t>Findings</w:t>
      </w:r>
    </w:p>
    <w:p w:rsidR="007E6B98" w:rsidRDefault="007E6B98" w:rsidP="007E6B98">
      <w:pPr>
        <w:spacing w:before="120" w:after="0"/>
        <w:outlineLvl w:val="0"/>
        <w:rPr>
          <w:rFonts w:eastAsia="Times New Roman" w:cs="Arial"/>
          <w:lang w:eastAsia="en-GB"/>
        </w:rPr>
      </w:pPr>
      <w:r>
        <w:rPr>
          <w:rFonts w:eastAsia="Times New Roman" w:cs="Arial"/>
          <w:b/>
          <w:i/>
          <w:lang w:eastAsia="en-GB"/>
        </w:rPr>
        <w:t>Student numbers</w:t>
      </w:r>
    </w:p>
    <w:p w:rsidR="007E6B98" w:rsidRPr="002D0E69" w:rsidRDefault="007E6B98" w:rsidP="007E6B98">
      <w:pPr>
        <w:spacing w:before="120" w:after="0"/>
        <w:outlineLvl w:val="0"/>
      </w:pPr>
      <w:r>
        <w:rPr>
          <w:rFonts w:eastAsia="Times New Roman" w:cs="Arial"/>
          <w:lang w:eastAsia="en-GB"/>
        </w:rPr>
        <w:t xml:space="preserve">On the basis of data provided by the University, its full-time student numbers were down from 9,843 in 2009/10 to 9,766 in 2013/14, having reached a high point of 10,674 in 2011/12, the year in which numbers were up across the country. </w:t>
      </w:r>
      <w:r>
        <w:t>Student numbers have not been made available by Bradford College. However, on the basis of UCAS information on acceptances, the College experienced a drop in intake of 20.4 per cent from 980 to 780 between 2009 and 2013. (This may understate the real intake figure slightly, as some entrants may have come through non-UCAS routes.) Combining the University’s intake figures with College acceptances, the numbers of new students dropped 22.2 per cent from 5,425 to 4,219 between 2009/10 and 2013/14.</w:t>
      </w:r>
    </w:p>
    <w:p w:rsidR="007E6B98" w:rsidRDefault="007E6B98" w:rsidP="007E6B98">
      <w:pPr>
        <w:spacing w:before="120" w:after="0"/>
        <w:outlineLvl w:val="0"/>
        <w:rPr>
          <w:rFonts w:eastAsia="Times New Roman" w:cs="Arial"/>
          <w:b/>
          <w:i/>
          <w:lang w:eastAsia="en-GB"/>
        </w:rPr>
      </w:pPr>
      <w:r w:rsidRPr="00851066">
        <w:rPr>
          <w:rFonts w:eastAsia="Times New Roman" w:cs="Arial"/>
          <w:b/>
          <w:i/>
          <w:lang w:eastAsia="en-GB"/>
        </w:rPr>
        <w:t>Student demand</w:t>
      </w:r>
      <w:r>
        <w:rPr>
          <w:rFonts w:eastAsia="Times New Roman" w:cs="Arial"/>
          <w:b/>
          <w:i/>
          <w:lang w:eastAsia="en-GB"/>
        </w:rPr>
        <w:t xml:space="preserve"> for accommodation</w:t>
      </w:r>
    </w:p>
    <w:p w:rsidR="007E6B98" w:rsidRDefault="007E6B98" w:rsidP="007E6B98">
      <w:pPr>
        <w:spacing w:before="120" w:after="0"/>
        <w:outlineLvl w:val="0"/>
      </w:pPr>
      <w:r>
        <w:t>For the academic year 2013/14, 4,100</w:t>
      </w:r>
      <w:r w:rsidRPr="002D0E69">
        <w:t xml:space="preserve"> students </w:t>
      </w:r>
      <w:r>
        <w:t xml:space="preserve">in Bradford </w:t>
      </w:r>
      <w:r w:rsidRPr="002D0E69">
        <w:t>required accommodation either in</w:t>
      </w:r>
      <w:r>
        <w:t xml:space="preserve"> the purpose-built or off-street</w:t>
      </w:r>
      <w:r w:rsidRPr="002D0E69">
        <w:t xml:space="preserve"> sector.  </w:t>
      </w:r>
      <w:r>
        <w:t>Sixty-one</w:t>
      </w:r>
      <w:r w:rsidRPr="002D0E69">
        <w:t xml:space="preserve"> per cent of students undert</w:t>
      </w:r>
      <w:r w:rsidR="005B6FFA">
        <w:t>ook</w:t>
      </w:r>
      <w:r w:rsidRPr="002D0E69">
        <w:t xml:space="preserve"> their studies </w:t>
      </w:r>
      <w:r>
        <w:t xml:space="preserve">from </w:t>
      </w:r>
      <w:r w:rsidRPr="002D0E69">
        <w:t xml:space="preserve">their parental or own home. </w:t>
      </w:r>
      <w:r>
        <w:t>This is a considerably higher figure than anticipated.</w:t>
      </w:r>
    </w:p>
    <w:p w:rsidR="007E6B98" w:rsidRDefault="007E6B98" w:rsidP="007E6B98">
      <w:pPr>
        <w:spacing w:before="120" w:after="0"/>
        <w:outlineLvl w:val="0"/>
        <w:rPr>
          <w:b/>
          <w:i/>
        </w:rPr>
      </w:pPr>
      <w:r>
        <w:rPr>
          <w:b/>
          <w:i/>
        </w:rPr>
        <w:t>Supply of accommodation</w:t>
      </w:r>
    </w:p>
    <w:p w:rsidR="007E6B98" w:rsidRDefault="007E6B98" w:rsidP="007E6B98">
      <w:pPr>
        <w:spacing w:before="120" w:after="0"/>
        <w:outlineLvl w:val="0"/>
      </w:pPr>
      <w:r>
        <w:t>Of the total current supply of 5,850 bed spaces, 4,350 are accounted for by purpose-built student accommodation (institutional and commercial)</w:t>
      </w:r>
      <w:r w:rsidRPr="00A8677A">
        <w:t>.</w:t>
      </w:r>
      <w:r>
        <w:t xml:space="preserve"> The remaining 1,500 bed spaces represent the off-street shared housing sector.</w:t>
      </w:r>
      <w:r w:rsidRPr="005B38DD">
        <w:t xml:space="preserve"> T</w:t>
      </w:r>
      <w:r w:rsidRPr="002D0E69">
        <w:t xml:space="preserve">he ANUK/Unipol Code of Standards covers 3,755 bed spaces and 595 bed spaces are </w:t>
      </w:r>
      <w:r w:rsidRPr="002D0E69">
        <w:lastRenderedPageBreak/>
        <w:t>currently provided outside the Code.</w:t>
      </w:r>
      <w:r>
        <w:t xml:space="preserve"> </w:t>
      </w:r>
      <w:r w:rsidRPr="002D0E69">
        <w:t xml:space="preserve">Most </w:t>
      </w:r>
      <w:r>
        <w:t>purpose-built student accommodation (</w:t>
      </w:r>
      <w:r w:rsidRPr="002D0E69">
        <w:t>PBSA</w:t>
      </w:r>
      <w:r>
        <w:t>)</w:t>
      </w:r>
      <w:r w:rsidRPr="002D0E69">
        <w:t xml:space="preserve"> provision is located on the University campus or in the city centre or in adjoining </w:t>
      </w:r>
      <w:proofErr w:type="spellStart"/>
      <w:r w:rsidRPr="002D0E69">
        <w:t>Shearbridge</w:t>
      </w:r>
      <w:proofErr w:type="spellEnd"/>
      <w:r w:rsidRPr="002D0E69">
        <w:t>.</w:t>
      </w:r>
    </w:p>
    <w:p w:rsidR="007E6B98" w:rsidRDefault="007E6B98" w:rsidP="007E6B98">
      <w:pPr>
        <w:spacing w:before="120" w:after="0"/>
        <w:outlineLvl w:val="0"/>
        <w:rPr>
          <w:rFonts w:eastAsia="Times New Roman" w:cs="Arial"/>
          <w:lang w:eastAsia="en-GB"/>
        </w:rPr>
      </w:pPr>
      <w:r w:rsidRPr="00851066">
        <w:rPr>
          <w:rFonts w:eastAsia="Times New Roman" w:cs="Arial"/>
          <w:b/>
          <w:i/>
          <w:lang w:eastAsia="en-GB"/>
        </w:rPr>
        <w:t>Level of over-supply</w:t>
      </w:r>
      <w:r>
        <w:rPr>
          <w:rFonts w:eastAsia="Times New Roman" w:cs="Arial"/>
          <w:lang w:eastAsia="en-GB"/>
        </w:rPr>
        <w:t xml:space="preserve"> </w:t>
      </w:r>
    </w:p>
    <w:p w:rsidR="007E6B98" w:rsidRDefault="007E6B98" w:rsidP="007E6B98">
      <w:pPr>
        <w:spacing w:before="120" w:after="0"/>
        <w:outlineLvl w:val="0"/>
        <w:rPr>
          <w:rFonts w:eastAsia="Times New Roman" w:cs="Arial"/>
          <w:lang w:eastAsia="en-GB"/>
        </w:rPr>
      </w:pPr>
      <w:r>
        <w:rPr>
          <w:rFonts w:eastAsia="Times New Roman" w:cs="Arial"/>
          <w:lang w:eastAsia="en-GB"/>
        </w:rPr>
        <w:t xml:space="preserve">On this basis, the level of over-supply amounts to around 1,750. </w:t>
      </w:r>
    </w:p>
    <w:p w:rsidR="007E6B98" w:rsidRDefault="007E6B98" w:rsidP="007E6B98">
      <w:pPr>
        <w:spacing w:before="120" w:after="0"/>
        <w:outlineLvl w:val="0"/>
        <w:rPr>
          <w:b/>
          <w:i/>
        </w:rPr>
      </w:pPr>
      <w:r w:rsidRPr="00846909">
        <w:rPr>
          <w:b/>
          <w:i/>
        </w:rPr>
        <w:t>Empty bed spaces</w:t>
      </w:r>
    </w:p>
    <w:p w:rsidR="007E6B98" w:rsidRDefault="007E6B98" w:rsidP="007E6B98">
      <w:pPr>
        <w:spacing w:before="120" w:after="0"/>
        <w:outlineLvl w:val="0"/>
        <w:rPr>
          <w:rFonts w:cs="Arial"/>
        </w:rPr>
      </w:pPr>
      <w:r w:rsidRPr="007440C5">
        <w:t xml:space="preserve">As at July 2014, </w:t>
      </w:r>
      <w:r w:rsidRPr="007440C5">
        <w:rPr>
          <w:rFonts w:cs="Segoe UI"/>
          <w:color w:val="000000"/>
          <w:shd w:val="clear" w:color="auto" w:fill="FFFFFF"/>
        </w:rPr>
        <w:t xml:space="preserve">Unipol had advertised 685 bed spaces in off-street properties since the start of </w:t>
      </w:r>
      <w:r>
        <w:rPr>
          <w:rFonts w:cs="Segoe UI"/>
          <w:color w:val="000000"/>
          <w:shd w:val="clear" w:color="auto" w:fill="FFFFFF"/>
        </w:rPr>
        <w:t xml:space="preserve">the </w:t>
      </w:r>
      <w:r w:rsidRPr="007440C5">
        <w:rPr>
          <w:rFonts w:cs="Segoe UI"/>
          <w:color w:val="000000"/>
          <w:shd w:val="clear" w:color="auto" w:fill="FFFFFF"/>
        </w:rPr>
        <w:t>house hunting season. By October 2014, 331 bed spaces ha</w:t>
      </w:r>
      <w:r>
        <w:rPr>
          <w:rFonts w:cs="Segoe UI"/>
          <w:color w:val="000000"/>
          <w:shd w:val="clear" w:color="auto" w:fill="FFFFFF"/>
        </w:rPr>
        <w:t>d</w:t>
      </w:r>
      <w:r w:rsidRPr="007440C5">
        <w:rPr>
          <w:rFonts w:cs="Segoe UI"/>
          <w:color w:val="000000"/>
          <w:shd w:val="clear" w:color="auto" w:fill="FFFFFF"/>
        </w:rPr>
        <w:t xml:space="preserve"> been let, leaving 354 bed spaces unlet.</w:t>
      </w:r>
      <w:r>
        <w:rPr>
          <w:rFonts w:cs="Segoe UI"/>
          <w:color w:val="000000"/>
          <w:shd w:val="clear" w:color="auto" w:fill="FFFFFF"/>
        </w:rPr>
        <w:t xml:space="preserve"> On the basis of the available data, </w:t>
      </w:r>
      <w:r w:rsidRPr="002D0E69">
        <w:t>61 per cent of PBSA provision is let and occupied</w:t>
      </w:r>
      <w:r>
        <w:t xml:space="preserve"> for 2014/15,</w:t>
      </w:r>
      <w:r w:rsidRPr="002D0E69">
        <w:t xml:space="preserve"> leaving a potential surplus of 39 per cent of bed spaces, or almost 1,740 actual bed spaces.  This includes 380 new bed spaces currently available but not yet let.  </w:t>
      </w:r>
      <w:r>
        <w:t>I</w:t>
      </w:r>
      <w:r w:rsidRPr="002D0E69">
        <w:t>t is likely that take-up of th</w:t>
      </w:r>
      <w:r>
        <w:t>e</w:t>
      </w:r>
      <w:r w:rsidRPr="002D0E69">
        <w:t xml:space="preserve"> new bed spaces will be matched by a reduction in occupancy in other PBSA provision. Two thirds of PBSA covered by the ANUK/Unipol Code of Standards is let and occupied, compared to only 28 per cent of non-Code provision</w:t>
      </w:r>
      <w:r>
        <w:t>.</w:t>
      </w:r>
      <w:r w:rsidRPr="002D0E69">
        <w:t xml:space="preserve">  The University</w:t>
      </w:r>
      <w:r>
        <w:t>-</w:t>
      </w:r>
      <w:r w:rsidRPr="002D0E69">
        <w:t xml:space="preserve">run accommodation at The Green and Vernon </w:t>
      </w:r>
      <w:proofErr w:type="spellStart"/>
      <w:r w:rsidRPr="002D0E69">
        <w:t>Barnby</w:t>
      </w:r>
      <w:proofErr w:type="spellEnd"/>
      <w:r w:rsidRPr="002D0E69">
        <w:t xml:space="preserve"> is virtually full but private sector providers are experiencing occupancy rates as low as 26 per cent.</w:t>
      </w:r>
      <w:r>
        <w:t xml:space="preserve"> </w:t>
      </w:r>
      <w:r w:rsidRPr="0047796F">
        <w:rPr>
          <w:rFonts w:cs="Arial"/>
        </w:rPr>
        <w:t>The lower than average occupancy levels re</w:t>
      </w:r>
      <w:r>
        <w:rPr>
          <w:rFonts w:cs="Arial"/>
        </w:rPr>
        <w:t>corded in some PBSA within the c</w:t>
      </w:r>
      <w:r w:rsidRPr="0047796F">
        <w:rPr>
          <w:rFonts w:cs="Arial"/>
        </w:rPr>
        <w:t xml:space="preserve">ity must call into question the longer term viability of some of that accommodation.  </w:t>
      </w:r>
    </w:p>
    <w:p w:rsidR="007E6B98" w:rsidRPr="00EB283A" w:rsidRDefault="007E6B98" w:rsidP="007E6B98">
      <w:pPr>
        <w:spacing w:before="120" w:after="0"/>
        <w:outlineLvl w:val="0"/>
        <w:rPr>
          <w:b/>
          <w:i/>
        </w:rPr>
      </w:pPr>
      <w:r w:rsidRPr="00EB283A">
        <w:rPr>
          <w:b/>
          <w:i/>
        </w:rPr>
        <w:t>Distribution of students with a residential need</w:t>
      </w:r>
    </w:p>
    <w:p w:rsidR="007E6B98" w:rsidRDefault="007E6B98" w:rsidP="007E6B98">
      <w:pPr>
        <w:spacing w:before="120" w:after="0"/>
      </w:pPr>
      <w:r>
        <w:t>S</w:t>
      </w:r>
      <w:r w:rsidRPr="002D0E69">
        <w:t>tudents living and studying in Bradford are spread across different living situations.  Twenty-six per cent</w:t>
      </w:r>
      <w:r>
        <w:t xml:space="preserve"> of students</w:t>
      </w:r>
      <w:r w:rsidRPr="002D0E69">
        <w:t xml:space="preserve"> live in </w:t>
      </w:r>
      <w:r>
        <w:t xml:space="preserve">institutional or commercial </w:t>
      </w:r>
      <w:r w:rsidRPr="002D0E69">
        <w:t>purpose-buil</w:t>
      </w:r>
      <w:r>
        <w:t>t</w:t>
      </w:r>
      <w:r w:rsidRPr="002D0E69">
        <w:t xml:space="preserve"> accommodation. Only 13.7 per cent live in private rented housing</w:t>
      </w:r>
      <w:r>
        <w:t>,</w:t>
      </w:r>
      <w:r w:rsidRPr="002D0E69">
        <w:t xml:space="preserve"> either in off-street shared housing or in city centre apartments.</w:t>
      </w:r>
    </w:p>
    <w:p w:rsidR="007E6B98" w:rsidRDefault="007E6B98" w:rsidP="007E6B98">
      <w:pPr>
        <w:spacing w:before="120" w:after="0"/>
      </w:pPr>
      <w:r w:rsidRPr="00CA2CE1">
        <w:t>Sixty</w:t>
      </w:r>
      <w:r w:rsidRPr="00CA2CE1">
        <w:rPr>
          <w:b/>
        </w:rPr>
        <w:t xml:space="preserve"> </w:t>
      </w:r>
      <w:r w:rsidRPr="00CA2CE1">
        <w:t>per cent of new undergraduate</w:t>
      </w:r>
      <w:r>
        <w:t>s ch</w:t>
      </w:r>
      <w:r w:rsidRPr="00CA2CE1">
        <w:t xml:space="preserve">ose to live in their </w:t>
      </w:r>
      <w:r>
        <w:t xml:space="preserve">own or their </w:t>
      </w:r>
      <w:r w:rsidRPr="00CA2CE1">
        <w:t>parental home, (either in or out of Bradford), almost twice as many as chose to live in PBSA. Very few new students chose to live in off-street shared or city centre private rented housing</w:t>
      </w:r>
      <w:r>
        <w:t xml:space="preserve">. </w:t>
      </w:r>
      <w:r w:rsidRPr="0013142F">
        <w:t xml:space="preserve">Slightly fewer (57 per cent) Year 2 students remained in their parental or own home after their first year, and those that did not were </w:t>
      </w:r>
      <w:r w:rsidRPr="002A5B3C">
        <w:t>as likely</w:t>
      </w:r>
      <w:r w:rsidRPr="0013142F">
        <w:t xml:space="preserve"> to choose to live in PBSA as in private rented housing, either in off-street or city centre tenancies. Sixty-one per cent of Year 3 students and 58 per cent of Year 4 students remained in their parental or own home, and those that did not were </w:t>
      </w:r>
      <w:r w:rsidRPr="00A00922">
        <w:t>more likely</w:t>
      </w:r>
      <w:r w:rsidRPr="0013142F">
        <w:t xml:space="preserve"> to choose to live in PBSA rather than in private rented accommodation. </w:t>
      </w:r>
    </w:p>
    <w:p w:rsidR="007E6B98" w:rsidRDefault="007E6B98" w:rsidP="007E6B98">
      <w:pPr>
        <w:spacing w:before="120" w:after="0"/>
      </w:pPr>
      <w:r>
        <w:t>Over the period of the study, t</w:t>
      </w:r>
      <w:r w:rsidRPr="0013142F">
        <w:t xml:space="preserve">he </w:t>
      </w:r>
      <w:r>
        <w:t>balance of various student constituencies has shifted as follows. The proportion of new students living in:</w:t>
      </w:r>
    </w:p>
    <w:p w:rsidR="007E6B98" w:rsidRDefault="007E6B98" w:rsidP="007E6B98">
      <w:pPr>
        <w:pStyle w:val="ListParagraph"/>
        <w:numPr>
          <w:ilvl w:val="0"/>
          <w:numId w:val="40"/>
        </w:numPr>
        <w:spacing w:before="120" w:after="0"/>
        <w:ind w:left="426" w:hanging="426"/>
      </w:pPr>
      <w:r w:rsidRPr="0013142F">
        <w:t>PBSA has increased from a quarter to a third</w:t>
      </w:r>
    </w:p>
    <w:p w:rsidR="007E6B98" w:rsidRDefault="007E6B98" w:rsidP="007E6B98">
      <w:pPr>
        <w:pStyle w:val="ListParagraph"/>
        <w:numPr>
          <w:ilvl w:val="0"/>
          <w:numId w:val="40"/>
        </w:numPr>
        <w:spacing w:before="120" w:after="0"/>
        <w:ind w:left="426" w:hanging="426"/>
      </w:pPr>
      <w:r w:rsidRPr="0013142F">
        <w:t>private sector halls has reduced substantially from 22 to 13 per cent</w:t>
      </w:r>
    </w:p>
    <w:p w:rsidR="007E6B98" w:rsidRDefault="007E6B98" w:rsidP="007E6B98">
      <w:pPr>
        <w:pStyle w:val="ListParagraph"/>
        <w:numPr>
          <w:ilvl w:val="0"/>
          <w:numId w:val="40"/>
        </w:numPr>
        <w:spacing w:before="120" w:after="0"/>
        <w:ind w:left="426" w:hanging="426"/>
      </w:pPr>
      <w:r w:rsidRPr="0013142F">
        <w:t xml:space="preserve">University run accommodation has increased from four to 19 per cent </w:t>
      </w:r>
    </w:p>
    <w:p w:rsidR="007E6B98" w:rsidRDefault="007E6B98" w:rsidP="007E6B98">
      <w:pPr>
        <w:pStyle w:val="ListParagraph"/>
        <w:numPr>
          <w:ilvl w:val="0"/>
          <w:numId w:val="40"/>
        </w:numPr>
        <w:spacing w:before="120" w:after="0"/>
        <w:ind w:left="426" w:hanging="426"/>
      </w:pPr>
      <w:proofErr w:type="gramStart"/>
      <w:r w:rsidRPr="0013142F">
        <w:t>off-street</w:t>
      </w:r>
      <w:proofErr w:type="gramEnd"/>
      <w:r w:rsidRPr="0013142F">
        <w:t xml:space="preserve"> rented housing has reduced by almost half, but from a very low base</w:t>
      </w:r>
      <w:r>
        <w:t>.</w:t>
      </w:r>
    </w:p>
    <w:p w:rsidR="007E6B98" w:rsidRDefault="007E6B98" w:rsidP="007E6B98">
      <w:pPr>
        <w:spacing w:before="120" w:after="0"/>
      </w:pPr>
      <w:r>
        <w:t>The proportion of returning students living in</w:t>
      </w:r>
    </w:p>
    <w:p w:rsidR="007E6B98" w:rsidRDefault="007E6B98" w:rsidP="007E6B98">
      <w:pPr>
        <w:pStyle w:val="ListParagraph"/>
        <w:numPr>
          <w:ilvl w:val="0"/>
          <w:numId w:val="41"/>
        </w:numPr>
        <w:spacing w:before="120" w:after="0"/>
        <w:ind w:left="426" w:hanging="426"/>
      </w:pPr>
      <w:r>
        <w:t xml:space="preserve">in </w:t>
      </w:r>
      <w:r w:rsidRPr="0013142F">
        <w:t>private halls has stayed the same</w:t>
      </w:r>
    </w:p>
    <w:p w:rsidR="007E6B98" w:rsidRDefault="007E6B98" w:rsidP="007E6B98">
      <w:pPr>
        <w:pStyle w:val="ListParagraph"/>
        <w:numPr>
          <w:ilvl w:val="0"/>
          <w:numId w:val="41"/>
        </w:numPr>
        <w:spacing w:before="120" w:after="0"/>
        <w:ind w:left="426" w:hanging="426"/>
      </w:pPr>
      <w:r>
        <w:t xml:space="preserve">in </w:t>
      </w:r>
      <w:r w:rsidRPr="0013142F">
        <w:t xml:space="preserve">private halls has reduced from 19 to 16 per cent </w:t>
      </w:r>
    </w:p>
    <w:p w:rsidR="007E6B98" w:rsidRDefault="007E6B98" w:rsidP="007E6B98">
      <w:pPr>
        <w:pStyle w:val="ListParagraph"/>
        <w:numPr>
          <w:ilvl w:val="0"/>
          <w:numId w:val="41"/>
        </w:numPr>
        <w:spacing w:before="120" w:after="0"/>
        <w:ind w:left="426" w:hanging="426"/>
      </w:pPr>
      <w:r>
        <w:t xml:space="preserve">in </w:t>
      </w:r>
      <w:r w:rsidRPr="0013142F">
        <w:t>University run accommodation has incre</w:t>
      </w:r>
      <w:r>
        <w:t>ased from 0.9 to 3.7 per cent</w:t>
      </w:r>
    </w:p>
    <w:p w:rsidR="007E6B98" w:rsidRDefault="007E6B98" w:rsidP="007E6B98">
      <w:pPr>
        <w:pStyle w:val="ListParagraph"/>
        <w:numPr>
          <w:ilvl w:val="0"/>
          <w:numId w:val="41"/>
        </w:numPr>
        <w:spacing w:before="120" w:after="0"/>
        <w:ind w:left="426" w:hanging="426"/>
      </w:pPr>
      <w:r>
        <w:t xml:space="preserve">in </w:t>
      </w:r>
      <w:r w:rsidRPr="0013142F">
        <w:t>private rent</w:t>
      </w:r>
      <w:r>
        <w:t>ed housing has reduced slightly</w:t>
      </w:r>
      <w:r w:rsidRPr="0013142F">
        <w:t xml:space="preserve">  </w:t>
      </w:r>
    </w:p>
    <w:p w:rsidR="007E6B98" w:rsidRDefault="007E6B98" w:rsidP="007E6B98">
      <w:pPr>
        <w:pStyle w:val="ListParagraph"/>
        <w:numPr>
          <w:ilvl w:val="0"/>
          <w:numId w:val="41"/>
        </w:numPr>
        <w:spacing w:before="120" w:after="0"/>
        <w:ind w:left="426" w:hanging="426"/>
      </w:pPr>
      <w:proofErr w:type="gramStart"/>
      <w:r w:rsidRPr="0013142F">
        <w:t>outside</w:t>
      </w:r>
      <w:proofErr w:type="gramEnd"/>
      <w:r w:rsidRPr="0013142F">
        <w:t xml:space="preserve"> Bradford has increased substantially from 14 to 21 per cent</w:t>
      </w:r>
      <w:r>
        <w:t>.</w:t>
      </w:r>
    </w:p>
    <w:p w:rsidR="007E6B98" w:rsidRDefault="007E6B98" w:rsidP="007E6B98">
      <w:pPr>
        <w:spacing w:before="120" w:after="0"/>
      </w:pPr>
      <w:r>
        <w:t>T</w:t>
      </w:r>
      <w:r w:rsidRPr="0013142F">
        <w:t>he proportion of postgraduate students living</w:t>
      </w:r>
      <w:r>
        <w:t>:</w:t>
      </w:r>
    </w:p>
    <w:p w:rsidR="007E6B98" w:rsidRDefault="007E6B98" w:rsidP="007E6B98">
      <w:pPr>
        <w:pStyle w:val="ListParagraph"/>
        <w:numPr>
          <w:ilvl w:val="0"/>
          <w:numId w:val="42"/>
        </w:numPr>
        <w:spacing w:before="120" w:after="0"/>
        <w:ind w:left="426" w:hanging="426"/>
      </w:pPr>
      <w:r w:rsidRPr="0013142F">
        <w:t>in PBSA has increased substantially from 24 to 39 per cent</w:t>
      </w:r>
    </w:p>
    <w:p w:rsidR="007E6B98" w:rsidRDefault="007E6B98" w:rsidP="007E6B98">
      <w:pPr>
        <w:pStyle w:val="ListParagraph"/>
        <w:numPr>
          <w:ilvl w:val="0"/>
          <w:numId w:val="42"/>
        </w:numPr>
        <w:spacing w:before="120" w:after="0"/>
        <w:ind w:left="426" w:hanging="426"/>
      </w:pPr>
      <w:r w:rsidRPr="0013142F">
        <w:t xml:space="preserve">in off-street private rented housing </w:t>
      </w:r>
      <w:r>
        <w:t xml:space="preserve">has dropped </w:t>
      </w:r>
      <w:r w:rsidRPr="0013142F">
        <w:t>from 44 to 30 per cent</w:t>
      </w:r>
    </w:p>
    <w:p w:rsidR="007E6B98" w:rsidRDefault="007E6B98" w:rsidP="007E6B98">
      <w:pPr>
        <w:pStyle w:val="ListParagraph"/>
        <w:numPr>
          <w:ilvl w:val="0"/>
          <w:numId w:val="42"/>
        </w:numPr>
        <w:spacing w:before="120" w:after="0"/>
        <w:ind w:left="426" w:hanging="426"/>
      </w:pPr>
      <w:proofErr w:type="gramStart"/>
      <w:r w:rsidRPr="0013142F">
        <w:lastRenderedPageBreak/>
        <w:t>at</w:t>
      </w:r>
      <w:proofErr w:type="gramEnd"/>
      <w:r w:rsidRPr="0013142F">
        <w:t xml:space="preserve"> their parental home or in the own home also increased from 22 to 30 per cent.</w:t>
      </w:r>
    </w:p>
    <w:p w:rsidR="007E6B98" w:rsidRDefault="007E6B98" w:rsidP="007E6B98">
      <w:pPr>
        <w:spacing w:before="120" w:after="0"/>
        <w:rPr>
          <w:b/>
          <w:i/>
        </w:rPr>
      </w:pPr>
      <w:r>
        <w:rPr>
          <w:b/>
          <w:i/>
        </w:rPr>
        <w:t>Private rented sector: m</w:t>
      </w:r>
      <w:r w:rsidRPr="00851066">
        <w:rPr>
          <w:b/>
          <w:i/>
        </w:rPr>
        <w:t>arket contraction</w:t>
      </w:r>
    </w:p>
    <w:p w:rsidR="007E6B98" w:rsidRDefault="007E6B98" w:rsidP="007E6B98">
      <w:pPr>
        <w:spacing w:before="120" w:after="0"/>
      </w:pPr>
      <w:r w:rsidRPr="002D0E69">
        <w:t xml:space="preserve">The off-street private rented student housing market is much smaller than in other university cities, and </w:t>
      </w:r>
      <w:r>
        <w:t>judged</w:t>
      </w:r>
      <w:r w:rsidRPr="002D0E69">
        <w:t xml:space="preserve"> to </w:t>
      </w:r>
      <w:r>
        <w:t>have shrunk to its core</w:t>
      </w:r>
      <w:r w:rsidRPr="002D0E69">
        <w:t xml:space="preserve">.  </w:t>
      </w:r>
      <w:r>
        <w:t>T</w:t>
      </w:r>
      <w:r w:rsidRPr="002D0E69">
        <w:t>here has been a reduction in the number of students in areas of the city with a recognised supply of private rented housing of 25 per cent overall.</w:t>
      </w:r>
      <w:r>
        <w:t xml:space="preserve"> </w:t>
      </w:r>
    </w:p>
    <w:p w:rsidR="007E6B98" w:rsidRDefault="007E6B98" w:rsidP="007E6B98">
      <w:pPr>
        <w:spacing w:before="120" w:after="0"/>
        <w:rPr>
          <w:rFonts w:eastAsia="Times New Roman" w:cs="Arial"/>
          <w:b/>
          <w:i/>
          <w:lang w:eastAsia="en-GB"/>
        </w:rPr>
      </w:pPr>
      <w:r>
        <w:rPr>
          <w:rFonts w:eastAsia="Times New Roman" w:cs="Arial"/>
          <w:b/>
          <w:i/>
          <w:lang w:eastAsia="en-GB"/>
        </w:rPr>
        <w:t>S</w:t>
      </w:r>
      <w:r w:rsidRPr="00851066">
        <w:rPr>
          <w:rFonts w:eastAsia="Times New Roman" w:cs="Arial"/>
          <w:b/>
          <w:i/>
          <w:lang w:eastAsia="en-GB"/>
        </w:rPr>
        <w:t>tudent number plans</w:t>
      </w:r>
    </w:p>
    <w:p w:rsidR="007E6B98" w:rsidRDefault="007E6B98" w:rsidP="007E6B98">
      <w:pPr>
        <w:spacing w:before="120" w:after="0"/>
      </w:pPr>
      <w:r>
        <w:rPr>
          <w:rFonts w:eastAsia="Times New Roman" w:cs="Arial"/>
          <w:lang w:eastAsia="en-GB"/>
        </w:rPr>
        <w:t xml:space="preserve">For the period 2013/14 to 2018/19 the University plans to grow its total student population by 4.6 per cent from its current base of 9,766 to 10,207. From a new corporate plan focussed on realigning its identity to accord with its heritage as a technology institution, it is inferred that the University will seek to change the balance of its geographical student profile towards more students recruited from outside Bradford and the Leeds City Region. This would increase the number of students with a residential need, although this cannot be quantified. No figures are available from Bradford College. However, its new corporate plan sets out that “we </w:t>
      </w:r>
      <w:r w:rsidRPr="00802450">
        <w:t>will aim to build our intake of students from within the Bradford District and Leeds City Region, as well as from across the UK. We will continue to welcome and build our intake of international students.”</w:t>
      </w:r>
      <w:r>
        <w:t xml:space="preserve"> Whether either institution will achieve its targets is an open question. However, as this report’s survey of the sector suggests, there are strong headwinds that will make it difficult not only to expand but also to maintain current levels and to hold on to existing market share. If numbers do increase, this may turn out to owe more to Bradford’s demography as a city of young people than to expansion in non-regional recruits. If so, this will do little or nothing to increase residential demand.</w:t>
      </w:r>
    </w:p>
    <w:p w:rsidR="007E6B98" w:rsidRDefault="007E6B98" w:rsidP="007E6B98">
      <w:pPr>
        <w:spacing w:before="120" w:after="0"/>
        <w:rPr>
          <w:rFonts w:eastAsia="Times New Roman" w:cs="Arial"/>
          <w:b/>
          <w:i/>
          <w:lang w:eastAsia="en-GB"/>
        </w:rPr>
      </w:pPr>
      <w:r>
        <w:rPr>
          <w:rFonts w:eastAsia="Times New Roman" w:cs="Arial"/>
          <w:b/>
          <w:i/>
          <w:lang w:eastAsia="en-GB"/>
        </w:rPr>
        <w:t xml:space="preserve">Demographic profile of areas with high student populations </w:t>
      </w:r>
    </w:p>
    <w:p w:rsidR="007E6B98" w:rsidRDefault="007E6B98" w:rsidP="007E6B98">
      <w:pPr>
        <w:spacing w:before="120" w:after="0"/>
      </w:pPr>
      <w:r w:rsidRPr="002D0E69">
        <w:t xml:space="preserve">There are approximately 36,000 private rented properties in Bradford as measured at the 2011 Census, or 18 per cent of all housing. </w:t>
      </w:r>
      <w:r>
        <w:t>T</w:t>
      </w:r>
      <w:r w:rsidRPr="002D0E69">
        <w:t>he areas with the highest proportions of private rented housing are mostly concentrated in areas close to the University and Bradford College.</w:t>
      </w:r>
      <w:r>
        <w:t xml:space="preserve"> </w:t>
      </w:r>
      <w:r>
        <w:rPr>
          <w:rFonts w:eastAsia="Times New Roman" w:cs="Arial"/>
          <w:lang w:eastAsia="en-GB"/>
        </w:rPr>
        <w:t>O</w:t>
      </w:r>
      <w:r w:rsidRPr="002D0E69">
        <w:t>nly one ward – City Ward – ha</w:t>
      </w:r>
      <w:r>
        <w:t>s</w:t>
      </w:r>
      <w:r w:rsidRPr="002D0E69">
        <w:t xml:space="preserve"> a substantial student population</w:t>
      </w:r>
      <w:r>
        <w:t xml:space="preserve">. </w:t>
      </w:r>
      <w:r w:rsidRPr="0088691D">
        <w:t>The areas surrounding the University of Bradford where students tend to live are characterised by</w:t>
      </w:r>
      <w:r>
        <w:t xml:space="preserve"> </w:t>
      </w:r>
      <w:r w:rsidRPr="0088691D">
        <w:t>a very substantial BME population</w:t>
      </w:r>
      <w:r>
        <w:t xml:space="preserve">; </w:t>
      </w:r>
      <w:r w:rsidRPr="0088691D">
        <w:t>a large proportion of younger households</w:t>
      </w:r>
      <w:r>
        <w:t xml:space="preserve">; </w:t>
      </w:r>
      <w:r w:rsidRPr="0088691D">
        <w:t>a significantly lower proportion of people in managerial</w:t>
      </w:r>
      <w:r>
        <w:t xml:space="preserve"> / </w:t>
      </w:r>
      <w:r w:rsidRPr="0088691D">
        <w:t>professional occupations</w:t>
      </w:r>
      <w:r>
        <w:t xml:space="preserve">; </w:t>
      </w:r>
      <w:r w:rsidRPr="0088691D">
        <w:t>higher than average level of unemployment</w:t>
      </w:r>
      <w:r>
        <w:t xml:space="preserve">; and </w:t>
      </w:r>
      <w:r w:rsidRPr="0088691D">
        <w:t>people who are economically inactive.</w:t>
      </w:r>
      <w:r>
        <w:t xml:space="preserve"> I</w:t>
      </w:r>
      <w:r w:rsidRPr="002D0E69">
        <w:t xml:space="preserve">n most wards with higher than average student populations there is a mixture of tenures and no one housing tenure dominates any </w:t>
      </w:r>
      <w:r>
        <w:t xml:space="preserve">ward. </w:t>
      </w:r>
      <w:r w:rsidRPr="002D0E69">
        <w:t xml:space="preserve">Less than seven per cent of the population of wards </w:t>
      </w:r>
      <w:r>
        <w:t xml:space="preserve">other than City Ward </w:t>
      </w:r>
      <w:r w:rsidRPr="002D0E69">
        <w:t>were full-time students.  This indicates that student concentrations (or ‘</w:t>
      </w:r>
      <w:proofErr w:type="spellStart"/>
      <w:r w:rsidRPr="002D0E69">
        <w:t>studentification</w:t>
      </w:r>
      <w:proofErr w:type="spellEnd"/>
      <w:r w:rsidRPr="002D0E69">
        <w:t>’) are not a key issue in Bradford.</w:t>
      </w:r>
    </w:p>
    <w:p w:rsidR="007E6B98" w:rsidRDefault="007E6B98" w:rsidP="007E6B98">
      <w:pPr>
        <w:spacing w:before="120" w:after="0"/>
      </w:pPr>
      <w:r>
        <w:rPr>
          <w:b/>
          <w:i/>
        </w:rPr>
        <w:t>House prices and affordability in areas with high student populations</w:t>
      </w:r>
    </w:p>
    <w:p w:rsidR="007E6B98" w:rsidRDefault="007E6B98" w:rsidP="007E6B98">
      <w:pPr>
        <w:spacing w:before="120" w:after="0"/>
        <w:outlineLvl w:val="0"/>
      </w:pPr>
      <w:r>
        <w:t>T</w:t>
      </w:r>
      <w:r w:rsidRPr="002D0E69">
        <w:t xml:space="preserve">he average entry level house price in the areas closest to the campuses was just over £76,000, compared to the average for Bradford of almost £86,000. House prices in areas closest to the University and the College tended to be lower than the city average, except in the city centre and parts of Heaton and </w:t>
      </w:r>
      <w:proofErr w:type="spellStart"/>
      <w:r w:rsidRPr="002D0E69">
        <w:t>Frizinghall</w:t>
      </w:r>
      <w:proofErr w:type="spellEnd"/>
      <w:r w:rsidRPr="002D0E69">
        <w:t xml:space="preserve">. </w:t>
      </w:r>
      <w:proofErr w:type="gramStart"/>
      <w:r w:rsidRPr="002D0E69">
        <w:t>That prices</w:t>
      </w:r>
      <w:proofErr w:type="gramEnd"/>
      <w:r w:rsidRPr="002D0E69">
        <w:t xml:space="preserve"> are lower than average could make them both affordable and attractive to potential first-time buyers.</w:t>
      </w:r>
      <w:r>
        <w:t xml:space="preserve">  F</w:t>
      </w:r>
      <w:r w:rsidRPr="002D0E69">
        <w:t>or entry level properties (one or two bedroom) an average single income of almost £22,000 (around the average income level for Bradford) or a household income of £26,300 would be needed to afford mortgage repayments.</w:t>
      </w:r>
    </w:p>
    <w:p w:rsidR="007E6B98" w:rsidRDefault="007E6B98" w:rsidP="007E6B98">
      <w:pPr>
        <w:spacing w:before="120" w:after="0"/>
        <w:outlineLvl w:val="0"/>
        <w:rPr>
          <w:rFonts w:eastAsia="Times New Roman" w:cs="Arial"/>
          <w:b/>
          <w:i/>
          <w:lang w:eastAsia="en-GB"/>
        </w:rPr>
      </w:pPr>
      <w:r>
        <w:rPr>
          <w:rFonts w:eastAsia="Times New Roman" w:cs="Arial"/>
          <w:b/>
          <w:i/>
          <w:lang w:eastAsia="en-GB"/>
        </w:rPr>
        <w:t>Rent levels</w:t>
      </w:r>
    </w:p>
    <w:p w:rsidR="007E6B98" w:rsidRDefault="007E6B98" w:rsidP="007E6B98">
      <w:pPr>
        <w:spacing w:before="120" w:after="0"/>
        <w:outlineLvl w:val="0"/>
      </w:pPr>
      <w:r>
        <w:t>R</w:t>
      </w:r>
      <w:r w:rsidRPr="002D0E69">
        <w:t>ents in PBSA developments range from £50 per week for a standard room in the</w:t>
      </w:r>
      <w:r>
        <w:t xml:space="preserve"> Dennis Bellamy Hall on </w:t>
      </w:r>
      <w:proofErr w:type="spellStart"/>
      <w:r>
        <w:t>Laisteri</w:t>
      </w:r>
      <w:r w:rsidRPr="002D0E69">
        <w:t>dge</w:t>
      </w:r>
      <w:proofErr w:type="spellEnd"/>
      <w:r w:rsidRPr="002D0E69">
        <w:t xml:space="preserve"> Lane to £149 per week for a studio in Arkwright Hall.  The average </w:t>
      </w:r>
      <w:proofErr w:type="spellStart"/>
      <w:r w:rsidRPr="002D0E69">
        <w:t>ensuite</w:t>
      </w:r>
      <w:proofErr w:type="spellEnd"/>
      <w:r w:rsidRPr="002D0E69">
        <w:t xml:space="preserve"> room in a large development was between £60 (Malik Halls) and £108 per week (The Green).</w:t>
      </w:r>
      <w:r>
        <w:t xml:space="preserve"> R</w:t>
      </w:r>
      <w:r w:rsidRPr="002D0E69">
        <w:t xml:space="preserve">ent levels in the private </w:t>
      </w:r>
      <w:r w:rsidRPr="002D0E69">
        <w:lastRenderedPageBreak/>
        <w:t xml:space="preserve">rented sector remain lower than in PBSA provision and have fallen over the last year.  </w:t>
      </w:r>
      <w:r>
        <w:t>M</w:t>
      </w:r>
      <w:r w:rsidRPr="002D0E69">
        <w:t>arket rents in areas with highest student residence tend to be lower than the city average, but with some variation</w:t>
      </w:r>
      <w:r>
        <w:t xml:space="preserve">. </w:t>
      </w:r>
    </w:p>
    <w:p w:rsidR="007E6B98" w:rsidRPr="00406267" w:rsidRDefault="007E6B98" w:rsidP="007E6B98">
      <w:pPr>
        <w:spacing w:before="120" w:after="0"/>
        <w:rPr>
          <w:rFonts w:eastAsia="Times New Roman" w:cs="Arial"/>
          <w:b/>
          <w:i/>
          <w:lang w:eastAsia="en-GB"/>
        </w:rPr>
      </w:pPr>
      <w:r>
        <w:rPr>
          <w:rFonts w:eastAsia="Times New Roman" w:cs="Arial"/>
          <w:b/>
          <w:i/>
          <w:lang w:eastAsia="en-GB"/>
        </w:rPr>
        <w:t>Impact of The Green coming into commission</w:t>
      </w:r>
    </w:p>
    <w:p w:rsidR="007E6B98" w:rsidRDefault="007E6B98" w:rsidP="007E6B98">
      <w:pPr>
        <w:spacing w:before="120" w:after="0"/>
      </w:pPr>
      <w:r>
        <w:rPr>
          <w:rFonts w:eastAsia="Times New Roman" w:cs="Arial"/>
          <w:lang w:eastAsia="en-GB"/>
        </w:rPr>
        <w:t xml:space="preserve">The Green has been a game changer, with major implications for commercial PBSA and the private rented sector. The </w:t>
      </w:r>
      <w:r w:rsidRPr="002D0E69">
        <w:t>shift in student locational and living choices between 2009 and 2014</w:t>
      </w:r>
      <w:r>
        <w:t xml:space="preserve"> owes something to </w:t>
      </w:r>
      <w:r w:rsidRPr="002D0E69">
        <w:t xml:space="preserve">the reduction in </w:t>
      </w:r>
      <w:r>
        <w:t xml:space="preserve">student </w:t>
      </w:r>
      <w:r w:rsidRPr="002D0E69">
        <w:t>numbers</w:t>
      </w:r>
      <w:r>
        <w:t>,</w:t>
      </w:r>
      <w:r w:rsidRPr="002D0E69">
        <w:t xml:space="preserve"> but </w:t>
      </w:r>
      <w:r>
        <w:t>is largely a function</w:t>
      </w:r>
      <w:r w:rsidRPr="002D0E69">
        <w:t xml:space="preserve"> </w:t>
      </w:r>
      <w:r>
        <w:t xml:space="preserve">of the University opening </w:t>
      </w:r>
      <w:r w:rsidRPr="002D0E69">
        <w:t>The Green</w:t>
      </w:r>
      <w:r>
        <w:t xml:space="preserve"> Student Village in 2011/12. Compared to 2009, t</w:t>
      </w:r>
      <w:r w:rsidRPr="002D0E69">
        <w:t>here are 426 more students living in PBSA</w:t>
      </w:r>
      <w:r>
        <w:t xml:space="preserve">: </w:t>
      </w:r>
      <w:r w:rsidRPr="002D0E69">
        <w:t>842 more in University or College PBSA</w:t>
      </w:r>
      <w:r>
        <w:t>, but</w:t>
      </w:r>
      <w:r w:rsidRPr="002D0E69">
        <w:t xml:space="preserve"> 416 fewer in privately run PBSA. The provisions managed by CRM and USL have both seen significant reductions in student demand</w:t>
      </w:r>
      <w:r>
        <w:t>. I</w:t>
      </w:r>
      <w:r w:rsidRPr="002D0E69">
        <w:t xml:space="preserve">n off-street shared </w:t>
      </w:r>
      <w:r>
        <w:t>housing there are 416 fewer students than in 2009</w:t>
      </w:r>
      <w:r w:rsidRPr="002D0E69">
        <w:t xml:space="preserve">. </w:t>
      </w:r>
      <w:r>
        <w:t xml:space="preserve">The </w:t>
      </w:r>
      <w:r w:rsidRPr="002D0E69">
        <w:t xml:space="preserve">University of Bradford accommodation </w:t>
      </w:r>
      <w:r>
        <w:t xml:space="preserve">now </w:t>
      </w:r>
      <w:r w:rsidRPr="002D0E69">
        <w:t xml:space="preserve">houses just over 25 per cent of students – five times more than in 2009. The proportion of students accommodated by private sector halls has reduced from 53 to 40 per cent and the proportion of students housed in the off-street private rented sector </w:t>
      </w:r>
      <w:r>
        <w:t>fell</w:t>
      </w:r>
      <w:r w:rsidRPr="002D0E69">
        <w:t xml:space="preserve"> from 36 to 27.5 per cent.</w:t>
      </w:r>
    </w:p>
    <w:p w:rsidR="007E6B98" w:rsidRDefault="007E6B98" w:rsidP="007E6B98">
      <w:pPr>
        <w:spacing w:before="120" w:after="0"/>
        <w:rPr>
          <w:rFonts w:cs="Arial"/>
        </w:rPr>
      </w:pPr>
      <w:r w:rsidRPr="006B3D6D">
        <w:rPr>
          <w:rFonts w:cs="Arial"/>
        </w:rPr>
        <w:t xml:space="preserve">In some cases a loss-making development can form part of an overall profitable portfolio and it is fortunate that three buildings within the City have recently been sold or transferred as part of larger portfolio transactions to operators who have several student accommodation developments located throughout the country, allowing risk to be spread and absorbed within their portfolio. Examples of these recent changes would be </w:t>
      </w:r>
      <w:proofErr w:type="spellStart"/>
      <w:r w:rsidRPr="006B3D6D">
        <w:rPr>
          <w:rFonts w:cs="Arial"/>
        </w:rPr>
        <w:t>Wardley</w:t>
      </w:r>
      <w:proofErr w:type="spellEnd"/>
      <w:r w:rsidRPr="006B3D6D">
        <w:rPr>
          <w:rFonts w:cs="Arial"/>
        </w:rPr>
        <w:t xml:space="preserve"> House moving into the Sanctuary portfolio, Forster Halls moving into </w:t>
      </w:r>
      <w:proofErr w:type="spellStart"/>
      <w:r w:rsidRPr="006B3D6D">
        <w:rPr>
          <w:rFonts w:cs="Arial"/>
        </w:rPr>
        <w:t>Unite’s</w:t>
      </w:r>
      <w:proofErr w:type="spellEnd"/>
      <w:r w:rsidRPr="006B3D6D">
        <w:rPr>
          <w:rFonts w:cs="Arial"/>
        </w:rPr>
        <w:t xml:space="preserve"> portfolio and Arkwright Hall moving into </w:t>
      </w:r>
      <w:proofErr w:type="spellStart"/>
      <w:r w:rsidRPr="006B3D6D">
        <w:rPr>
          <w:rFonts w:cs="Arial"/>
        </w:rPr>
        <w:t>Graystar’s</w:t>
      </w:r>
      <w:proofErr w:type="spellEnd"/>
      <w:r w:rsidRPr="006B3D6D">
        <w:rPr>
          <w:rFonts w:cs="Arial"/>
        </w:rPr>
        <w:t xml:space="preserve"> recently acquired portfolio. </w:t>
      </w:r>
    </w:p>
    <w:p w:rsidR="007E6B98" w:rsidRDefault="007E6B98" w:rsidP="007E6B98">
      <w:pPr>
        <w:pStyle w:val="ListParagraph"/>
        <w:ind w:left="0"/>
        <w:rPr>
          <w:rFonts w:cs="Arial"/>
        </w:rPr>
      </w:pPr>
      <w:r>
        <w:rPr>
          <w:rFonts w:cs="Arial"/>
        </w:rPr>
        <w:t xml:space="preserve">Where local developers or investment funds have only buildings located within Bradford, the risk profile of those developments must be considerably higher. A recent example demonstrating the danger of this higher risk has seen </w:t>
      </w:r>
      <w:proofErr w:type="spellStart"/>
      <w:r>
        <w:rPr>
          <w:rFonts w:cs="Arial"/>
        </w:rPr>
        <w:t>Haria</w:t>
      </w:r>
      <w:proofErr w:type="spellEnd"/>
      <w:r>
        <w:rPr>
          <w:rFonts w:cs="Arial"/>
        </w:rPr>
        <w:t xml:space="preserve"> House and Towers – both high quality, well placed developments – put into receivership by Santander Bank because of inadequate returns, almost certainly based on lower than planned occupancy rates.</w:t>
      </w:r>
    </w:p>
    <w:p w:rsidR="007E6B98" w:rsidRDefault="007E6B98" w:rsidP="007E6B98">
      <w:pPr>
        <w:pStyle w:val="ListParagraph"/>
        <w:ind w:left="0"/>
        <w:rPr>
          <w:b/>
          <w:i/>
        </w:rPr>
      </w:pPr>
    </w:p>
    <w:p w:rsidR="007E6B98" w:rsidRDefault="007E6B98" w:rsidP="007E6B98">
      <w:pPr>
        <w:pStyle w:val="ListParagraph"/>
        <w:ind w:left="0"/>
        <w:rPr>
          <w:b/>
          <w:i/>
        </w:rPr>
      </w:pPr>
      <w:r w:rsidRPr="00CB40E7">
        <w:rPr>
          <w:b/>
          <w:i/>
        </w:rPr>
        <w:t>Forecast change in the student residential market</w:t>
      </w:r>
    </w:p>
    <w:p w:rsidR="007E6B98" w:rsidRDefault="007E6B98" w:rsidP="007E6B98">
      <w:pPr>
        <w:spacing w:before="120" w:after="0"/>
      </w:pPr>
      <w:r>
        <w:t>Pressures are building</w:t>
      </w:r>
      <w:r w:rsidRPr="002D0E69">
        <w:t xml:space="preserve"> on existing and planned PBSA and on the off-street rental market in Bradford within the context of changing demand from students</w:t>
      </w:r>
      <w:r>
        <w:t>:</w:t>
      </w:r>
    </w:p>
    <w:p w:rsidR="007E6B98" w:rsidRDefault="007E6B98" w:rsidP="007E6B98">
      <w:pPr>
        <w:pStyle w:val="ListParagraph"/>
        <w:numPr>
          <w:ilvl w:val="0"/>
          <w:numId w:val="38"/>
        </w:numPr>
        <w:ind w:left="426" w:hanging="426"/>
      </w:pPr>
      <w:r w:rsidRPr="002D0E69">
        <w:t>Ther</w:t>
      </w:r>
      <w:r>
        <w:t>e is a growing supply of purpose-build</w:t>
      </w:r>
      <w:r w:rsidRPr="002D0E69">
        <w:t xml:space="preserve"> </w:t>
      </w:r>
    </w:p>
    <w:p w:rsidR="007E6B98" w:rsidRPr="00AD3702" w:rsidRDefault="007E6B98" w:rsidP="007E6B98">
      <w:pPr>
        <w:pStyle w:val="ListParagraph"/>
        <w:numPr>
          <w:ilvl w:val="0"/>
          <w:numId w:val="38"/>
        </w:numPr>
        <w:spacing w:before="120" w:after="0"/>
        <w:ind w:left="426" w:hanging="426"/>
      </w:pPr>
      <w:r>
        <w:t>Student numbers and student demand for accommodation are unlikely to grow materially</w:t>
      </w:r>
    </w:p>
    <w:p w:rsidR="007E6B98" w:rsidRPr="00AD3702" w:rsidRDefault="007E6B98" w:rsidP="007E6B98">
      <w:pPr>
        <w:pStyle w:val="ListParagraph"/>
        <w:numPr>
          <w:ilvl w:val="0"/>
          <w:numId w:val="38"/>
        </w:numPr>
        <w:ind w:left="426" w:hanging="426"/>
      </w:pPr>
      <w:r w:rsidRPr="00AD3702">
        <w:t>There is some evidence that lower priced purpose-built developments will be seeking to capture more of the returning student market</w:t>
      </w:r>
    </w:p>
    <w:p w:rsidR="007E6B98" w:rsidRPr="00AD3702" w:rsidRDefault="007E6B98" w:rsidP="007E6B98">
      <w:pPr>
        <w:pStyle w:val="ListParagraph"/>
        <w:numPr>
          <w:ilvl w:val="0"/>
          <w:numId w:val="38"/>
        </w:numPr>
        <w:ind w:left="426" w:hanging="426"/>
      </w:pPr>
      <w:r w:rsidRPr="00AD3702">
        <w:t>The business environment will be more demanding on product and services:</w:t>
      </w:r>
    </w:p>
    <w:p w:rsidR="007E6B98" w:rsidRPr="00AD3702" w:rsidRDefault="007E6B98" w:rsidP="007E6B98">
      <w:pPr>
        <w:pStyle w:val="ListParagraph"/>
        <w:numPr>
          <w:ilvl w:val="1"/>
          <w:numId w:val="38"/>
        </w:numPr>
        <w:ind w:left="426" w:firstLine="0"/>
      </w:pPr>
      <w:r>
        <w:t>in off-</w:t>
      </w:r>
      <w:r w:rsidRPr="00AD3702">
        <w:t>street properties the poorer quality, poorly located developments will be unlet</w:t>
      </w:r>
      <w:r w:rsidRPr="00AD3702">
        <w:tab/>
      </w:r>
    </w:p>
    <w:p w:rsidR="007E6B98" w:rsidRPr="00AD3702" w:rsidRDefault="007E6B98" w:rsidP="007E6B98">
      <w:pPr>
        <w:pStyle w:val="ListParagraph"/>
        <w:numPr>
          <w:ilvl w:val="1"/>
          <w:numId w:val="38"/>
        </w:numPr>
        <w:ind w:left="426" w:firstLine="0"/>
      </w:pPr>
      <w:r w:rsidRPr="00AD3702">
        <w:t xml:space="preserve">in purpose-built properties poorer located properties will see their rents fall or will remain </w:t>
      </w:r>
      <w:r w:rsidRPr="00AD3702">
        <w:tab/>
        <w:t>empty</w:t>
      </w:r>
    </w:p>
    <w:p w:rsidR="007E6B98" w:rsidRPr="00AD3702" w:rsidRDefault="007E6B98" w:rsidP="007E6B98">
      <w:pPr>
        <w:pStyle w:val="ListParagraph"/>
        <w:numPr>
          <w:ilvl w:val="1"/>
          <w:numId w:val="38"/>
        </w:numPr>
        <w:ind w:left="426" w:firstLine="0"/>
      </w:pPr>
      <w:r w:rsidRPr="00AD3702">
        <w:t>there will be increasing competition between PBSA providers for returning students</w:t>
      </w:r>
    </w:p>
    <w:p w:rsidR="007E6B98" w:rsidRPr="00EB075F" w:rsidRDefault="007E6B98" w:rsidP="007E6B98">
      <w:pPr>
        <w:pStyle w:val="ListParagraph"/>
        <w:numPr>
          <w:ilvl w:val="0"/>
          <w:numId w:val="38"/>
        </w:numPr>
        <w:ind w:left="426" w:hanging="426"/>
      </w:pPr>
      <w:r w:rsidRPr="00AD3702">
        <w:t>The off-street market is driven mainly by returning students renting in groups, so is likely to face competition from increasing PBSA supply for their core market.</w:t>
      </w:r>
      <w:r w:rsidRPr="00AD3702">
        <w:rPr>
          <w:rFonts w:cs="Courier New"/>
          <w:color w:val="000000"/>
          <w:shd w:val="clear" w:color="auto" w:fill="FFFFFF"/>
        </w:rPr>
        <w:t xml:space="preserve"> The level of off-street housing is probably now at its </w:t>
      </w:r>
      <w:r>
        <w:rPr>
          <w:rFonts w:cs="Courier New"/>
          <w:color w:val="000000"/>
          <w:shd w:val="clear" w:color="auto" w:fill="FFFFFF"/>
        </w:rPr>
        <w:t>bedrock</w:t>
      </w:r>
      <w:r w:rsidRPr="00AD3702">
        <w:rPr>
          <w:rFonts w:cs="Courier New"/>
          <w:color w:val="000000"/>
          <w:shd w:val="clear" w:color="auto" w:fill="FFFFFF"/>
        </w:rPr>
        <w:t xml:space="preserve"> level</w:t>
      </w:r>
      <w:r>
        <w:rPr>
          <w:rFonts w:cs="Courier New"/>
          <w:color w:val="000000"/>
          <w:shd w:val="clear" w:color="auto" w:fill="FFFFFF"/>
        </w:rPr>
        <w:t xml:space="preserve"> but may suffer some further erosion</w:t>
      </w:r>
    </w:p>
    <w:p w:rsidR="007E6B98" w:rsidRPr="00AD3702" w:rsidRDefault="007E6B98" w:rsidP="007E6B98">
      <w:pPr>
        <w:pStyle w:val="ListParagraph"/>
        <w:numPr>
          <w:ilvl w:val="0"/>
          <w:numId w:val="38"/>
        </w:numPr>
        <w:spacing w:before="120" w:after="0"/>
        <w:ind w:left="426" w:hanging="426"/>
      </w:pPr>
      <w:r w:rsidRPr="00802450">
        <w:t>The</w:t>
      </w:r>
      <w:r>
        <w:t xml:space="preserve"> impact of The</w:t>
      </w:r>
      <w:r w:rsidRPr="00802450">
        <w:t xml:space="preserve"> Green on private sector PBSA in the city</w:t>
      </w:r>
      <w:r>
        <w:t>, combined with</w:t>
      </w:r>
      <w:r w:rsidRPr="00802450">
        <w:t xml:space="preserve"> the strong presence in the market of the option to attend studies from home, may create a structural surplus of accommodation, requiring rationalisation of the PBSA and</w:t>
      </w:r>
      <w:r>
        <w:t xml:space="preserve"> the off-street housing sector</w:t>
      </w:r>
      <w:r w:rsidRPr="00802450">
        <w:t xml:space="preserve"> </w:t>
      </w:r>
    </w:p>
    <w:p w:rsidR="007E6B98" w:rsidRPr="006B3D6D" w:rsidRDefault="007E6B98" w:rsidP="007E6B98">
      <w:pPr>
        <w:pStyle w:val="ListParagraph"/>
        <w:numPr>
          <w:ilvl w:val="0"/>
          <w:numId w:val="38"/>
        </w:numPr>
        <w:ind w:left="426" w:hanging="426"/>
      </w:pPr>
      <w:r w:rsidRPr="00EB075F">
        <w:rPr>
          <w:rFonts w:cs="Courier New"/>
          <w:color w:val="000000"/>
          <w:shd w:val="clear" w:color="auto" w:fill="FFFFFF"/>
        </w:rPr>
        <w:t>Investment in PBSA will continue to exert itself as a significant issue for the Council and the University.</w:t>
      </w:r>
    </w:p>
    <w:p w:rsidR="007E6B98" w:rsidRPr="00A65981" w:rsidRDefault="007E6B98" w:rsidP="007E6B98">
      <w:pPr>
        <w:rPr>
          <w:b/>
          <w:i/>
        </w:rPr>
      </w:pPr>
      <w:r>
        <w:rPr>
          <w:b/>
          <w:i/>
        </w:rPr>
        <w:lastRenderedPageBreak/>
        <w:t>Options for intervention</w:t>
      </w:r>
    </w:p>
    <w:p w:rsidR="007E6B98" w:rsidRPr="00862D2C" w:rsidRDefault="007E6B98" w:rsidP="007E6B98">
      <w:pPr>
        <w:rPr>
          <w:rFonts w:cs="Courier New"/>
          <w:color w:val="000000"/>
          <w:shd w:val="clear" w:color="auto" w:fill="FFFFFF"/>
        </w:rPr>
      </w:pPr>
      <w:r w:rsidRPr="00862D2C">
        <w:rPr>
          <w:rFonts w:cs="Courier New"/>
          <w:color w:val="000000"/>
          <w:shd w:val="clear" w:color="auto" w:fill="FFFFFF"/>
        </w:rPr>
        <w:t xml:space="preserve">In the context of its having been reduced to bedrock level and of intensifying competition from PBSA, the off-street student sector faces a bleak future, characterised by widespread over-supply, under-occupation and increasing unviability. These conditions make </w:t>
      </w:r>
      <w:r w:rsidRPr="00862D2C">
        <w:rPr>
          <w:rFonts w:cs="Courier New"/>
          <w:color w:val="000000"/>
          <w:u w:val="single"/>
          <w:shd w:val="clear" w:color="auto" w:fill="FFFFFF"/>
        </w:rPr>
        <w:t>a Unipol-backed Accreditation</w:t>
      </w:r>
      <w:r>
        <w:rPr>
          <w:rFonts w:cs="Courier New"/>
          <w:color w:val="000000"/>
          <w:u w:val="single"/>
          <w:shd w:val="clear" w:color="auto" w:fill="FFFFFF"/>
        </w:rPr>
        <w:t>-</w:t>
      </w:r>
      <w:r w:rsidRPr="00862D2C">
        <w:rPr>
          <w:rFonts w:cs="Courier New"/>
          <w:color w:val="000000"/>
          <w:u w:val="single"/>
          <w:shd w:val="clear" w:color="auto" w:fill="FFFFFF"/>
        </w:rPr>
        <w:t>Plus scheme</w:t>
      </w:r>
      <w:r w:rsidRPr="00862D2C">
        <w:rPr>
          <w:rFonts w:cs="Courier New"/>
          <w:color w:val="000000"/>
          <w:shd w:val="clear" w:color="auto" w:fill="FFFFFF"/>
        </w:rPr>
        <w:t xml:space="preserve">, a workable and effective instrument of intervention. </w:t>
      </w:r>
      <w:r w:rsidR="00DD7DB9">
        <w:rPr>
          <w:rFonts w:cs="Courier New"/>
          <w:color w:val="000000"/>
          <w:shd w:val="clear" w:color="auto" w:fill="FFFFFF"/>
        </w:rPr>
        <w:t>Sitting atop current accreditation arrangements, t</w:t>
      </w:r>
      <w:r w:rsidRPr="00862D2C">
        <w:rPr>
          <w:rFonts w:cs="Courier New"/>
          <w:color w:val="000000"/>
          <w:shd w:val="clear" w:color="auto" w:fill="FFFFFF"/>
        </w:rPr>
        <w:t xml:space="preserve">his would be capable of identifying </w:t>
      </w:r>
      <w:r w:rsidR="00DD7DB9">
        <w:rPr>
          <w:rFonts w:cs="Courier New"/>
          <w:color w:val="000000"/>
          <w:shd w:val="clear" w:color="auto" w:fill="FFFFFF"/>
        </w:rPr>
        <w:t xml:space="preserve">properties with higher standards (including </w:t>
      </w:r>
      <w:proofErr w:type="spellStart"/>
      <w:r w:rsidR="00DD7DB9">
        <w:rPr>
          <w:rFonts w:cs="Courier New"/>
          <w:color w:val="000000"/>
          <w:shd w:val="clear" w:color="auto" w:fill="FFFFFF"/>
        </w:rPr>
        <w:t>WiFi</w:t>
      </w:r>
      <w:proofErr w:type="spellEnd"/>
      <w:r w:rsidR="00DD7DB9">
        <w:rPr>
          <w:rFonts w:cs="Courier New"/>
          <w:color w:val="000000"/>
          <w:shd w:val="clear" w:color="auto" w:fill="FFFFFF"/>
        </w:rPr>
        <w:t xml:space="preserve"> and utility-inclusive rents competitive with PBSA) and Unipol would support landlords in achieving these and supporting their badging in the marketplace. The intention would be to provide students looking to enter the off-street sector with a</w:t>
      </w:r>
      <w:r w:rsidR="00865235">
        <w:rPr>
          <w:rFonts w:cs="Courier New"/>
          <w:color w:val="000000"/>
          <w:shd w:val="clear" w:color="auto" w:fill="FFFFFF"/>
        </w:rPr>
        <w:t>n off-street</w:t>
      </w:r>
      <w:r w:rsidR="00DD7DB9">
        <w:rPr>
          <w:rFonts w:cs="Courier New"/>
          <w:color w:val="000000"/>
          <w:shd w:val="clear" w:color="auto" w:fill="FFFFFF"/>
        </w:rPr>
        <w:t xml:space="preserve"> product that does not have an amenity deficit in comparison with PBSA.</w:t>
      </w:r>
    </w:p>
    <w:p w:rsidR="007E6B98" w:rsidRDefault="007E6B98" w:rsidP="007E6B98">
      <w:r w:rsidRPr="00B741BE">
        <w:t xml:space="preserve">Against this background of over-supply, it is important to consider alternative </w:t>
      </w:r>
      <w:r>
        <w:t xml:space="preserve">sources of </w:t>
      </w:r>
      <w:r w:rsidRPr="00B741BE">
        <w:t>demand for properties no longer wanted by students</w:t>
      </w:r>
      <w:r>
        <w:t>:</w:t>
      </w:r>
    </w:p>
    <w:p w:rsidR="007E6B98" w:rsidRPr="002D0E69" w:rsidRDefault="007E6B98" w:rsidP="007E6B98">
      <w:pPr>
        <w:pStyle w:val="ListParagraph"/>
        <w:numPr>
          <w:ilvl w:val="0"/>
          <w:numId w:val="43"/>
        </w:numPr>
        <w:ind w:left="426" w:hanging="426"/>
      </w:pPr>
      <w:r w:rsidRPr="00A74729">
        <w:rPr>
          <w:u w:val="single"/>
        </w:rPr>
        <w:t>Home purchase</w:t>
      </w:r>
      <w:r w:rsidRPr="002D0E69">
        <w:t>, especially by first-time buyers, would be one option.  Average house prices in the areas surrounding the University are substantially lower than the average for Bradford as a whole</w:t>
      </w:r>
      <w:r>
        <w:t xml:space="preserve"> and have fallen</w:t>
      </w:r>
      <w:r w:rsidRPr="002D0E69">
        <w:t xml:space="preserve"> by around </w:t>
      </w:r>
      <w:r>
        <w:t>six</w:t>
      </w:r>
      <w:r w:rsidRPr="002D0E69">
        <w:t xml:space="preserve"> per cent since 2009. While </w:t>
      </w:r>
      <w:r>
        <w:t xml:space="preserve">the purchase of </w:t>
      </w:r>
      <w:r w:rsidRPr="002D0E69">
        <w:t xml:space="preserve">housing in </w:t>
      </w:r>
      <w:r>
        <w:t>this area</w:t>
      </w:r>
      <w:r w:rsidRPr="002D0E69">
        <w:t xml:space="preserve"> is relatively affordable </w:t>
      </w:r>
      <w:r>
        <w:t>for</w:t>
      </w:r>
      <w:r w:rsidRPr="002D0E69">
        <w:t xml:space="preserve"> average earners, properties may still be out of the reach of low earners, and first-time buyers may be hindered by the scale of deposits required and </w:t>
      </w:r>
      <w:r>
        <w:t>stringent lending conditions</w:t>
      </w:r>
      <w:r w:rsidRPr="002D0E69">
        <w:t xml:space="preserve">.  </w:t>
      </w:r>
    </w:p>
    <w:p w:rsidR="007E6B98" w:rsidRPr="0047796F" w:rsidRDefault="007E6B98" w:rsidP="007E6B98">
      <w:pPr>
        <w:pStyle w:val="ListParagraph"/>
        <w:numPr>
          <w:ilvl w:val="0"/>
          <w:numId w:val="43"/>
        </w:numPr>
        <w:ind w:left="426" w:hanging="426"/>
      </w:pPr>
      <w:r w:rsidRPr="002D0E69">
        <w:t xml:space="preserve">There is some anecdotal evidence that a number of landlords in the areas where students live are letting as a temporary measure, pending properties being gifted to sons or daughters upon </w:t>
      </w:r>
      <w:r w:rsidRPr="0047796F">
        <w:t xml:space="preserve">marriage. It may be, therefore, that unwanted properties may revert to </w:t>
      </w:r>
      <w:r w:rsidRPr="0047796F">
        <w:rPr>
          <w:u w:val="single"/>
        </w:rPr>
        <w:t>use within the local Asian community</w:t>
      </w:r>
      <w:r w:rsidRPr="0047796F">
        <w:t xml:space="preserve"> or may be purchased by others within the Asian community.</w:t>
      </w:r>
    </w:p>
    <w:p w:rsidR="007E6B98" w:rsidRPr="0047796F" w:rsidRDefault="007E6B98" w:rsidP="007E6B98">
      <w:pPr>
        <w:pStyle w:val="ListParagraph"/>
        <w:numPr>
          <w:ilvl w:val="0"/>
          <w:numId w:val="43"/>
        </w:numPr>
        <w:ind w:left="426" w:hanging="426"/>
      </w:pPr>
      <w:r w:rsidRPr="0047796F">
        <w:t xml:space="preserve">It may be that there are </w:t>
      </w:r>
      <w:r w:rsidRPr="0047796F">
        <w:rPr>
          <w:u w:val="single"/>
        </w:rPr>
        <w:t>alternative rental markets</w:t>
      </w:r>
      <w:r w:rsidRPr="0047796F">
        <w:t xml:space="preserve"> for unwanted student properties. The difficulties faced by younger households in securing mortgages and accumulating deposits have led to a boom in rental demand, and there could be demand for rented properties unwanted by students among young couples and starter households seeking their first home.  However, again this may be of benefit only to average earners. </w:t>
      </w:r>
    </w:p>
    <w:p w:rsidR="007E6B98" w:rsidRDefault="007E6B98" w:rsidP="007E6B98">
      <w:pPr>
        <w:pStyle w:val="ListParagraph"/>
        <w:numPr>
          <w:ilvl w:val="0"/>
          <w:numId w:val="43"/>
        </w:numPr>
        <w:ind w:left="426" w:hanging="426"/>
      </w:pPr>
      <w:r w:rsidRPr="0047796F">
        <w:t xml:space="preserve">Some property owners may consider </w:t>
      </w:r>
      <w:r w:rsidRPr="0047796F">
        <w:rPr>
          <w:u w:val="single"/>
        </w:rPr>
        <w:t>disposal of unwanted properties to housing associations</w:t>
      </w:r>
      <w:r w:rsidRPr="0047796F">
        <w:t xml:space="preserve"> </w:t>
      </w:r>
      <w:r w:rsidRPr="002D0E69">
        <w:t>with a stock base in the areas where students currently live in shared rented housing.</w:t>
      </w:r>
    </w:p>
    <w:p w:rsidR="007E6B98" w:rsidRDefault="007E6B98" w:rsidP="007E6B98"/>
    <w:p w:rsidR="007E6B98" w:rsidRDefault="007E6B98" w:rsidP="007E6B98">
      <w:pPr>
        <w:spacing w:before="120" w:after="0"/>
        <w:rPr>
          <w:rFonts w:eastAsia="Times New Roman" w:cs="Arial"/>
          <w:szCs w:val="20"/>
          <w:lang w:eastAsia="en-GB"/>
        </w:rPr>
      </w:pPr>
    </w:p>
    <w:p w:rsidR="007E6B98" w:rsidRDefault="007E6B98" w:rsidP="007E6B98">
      <w:pPr>
        <w:spacing w:before="120" w:after="0"/>
      </w:pPr>
    </w:p>
    <w:p w:rsidR="007E6B98" w:rsidRDefault="007E6B98">
      <w:r>
        <w:br w:type="page"/>
      </w:r>
    </w:p>
    <w:p w:rsidR="00EE5EB2" w:rsidRDefault="00EE5EB2" w:rsidP="00EE5EB2">
      <w:pPr>
        <w:ind w:left="720"/>
        <w:contextualSpacing/>
        <w:rPr>
          <w:rFonts w:eastAsia="Times New Roman" w:cs="Arial"/>
          <w:lang w:eastAsia="en-GB"/>
        </w:rPr>
      </w:pPr>
      <w:r w:rsidRPr="00EE5EB2">
        <w:rPr>
          <w:rFonts w:eastAsia="Times New Roman" w:cs="Arial"/>
          <w:b/>
          <w:sz w:val="32"/>
          <w:szCs w:val="32"/>
          <w:lang w:eastAsia="en-GB"/>
        </w:rPr>
        <w:lastRenderedPageBreak/>
        <w:t>Section 1:</w:t>
      </w:r>
      <w:r>
        <w:rPr>
          <w:rFonts w:eastAsia="Times New Roman" w:cs="Arial"/>
          <w:sz w:val="20"/>
          <w:szCs w:val="20"/>
          <w:lang w:eastAsia="en-GB"/>
        </w:rPr>
        <w:tab/>
      </w:r>
      <w:r w:rsidR="007440C5" w:rsidRPr="007440C5">
        <w:rPr>
          <w:rFonts w:eastAsia="Times New Roman" w:cs="Arial"/>
          <w:b/>
          <w:sz w:val="32"/>
          <w:szCs w:val="20"/>
          <w:lang w:eastAsia="en-GB"/>
        </w:rPr>
        <w:t>Introduction and policy context</w:t>
      </w:r>
    </w:p>
    <w:p w:rsidR="00EE5EB2" w:rsidRPr="00EE5EB2" w:rsidRDefault="007440C5" w:rsidP="00EE5EB2">
      <w:pPr>
        <w:pStyle w:val="ListParagraph"/>
        <w:numPr>
          <w:ilvl w:val="0"/>
          <w:numId w:val="36"/>
        </w:numPr>
        <w:rPr>
          <w:rFonts w:eastAsia="Times New Roman" w:cs="Arial"/>
          <w:lang w:eastAsia="en-GB"/>
        </w:rPr>
      </w:pPr>
      <w:r w:rsidRPr="00EE5EB2">
        <w:rPr>
          <w:rFonts w:eastAsia="Times New Roman" w:cs="Arial"/>
          <w:lang w:eastAsia="en-GB"/>
        </w:rPr>
        <w:t>This section describes the business case for the study and sets out the proj</w:t>
      </w:r>
      <w:r w:rsidR="00DA6975" w:rsidRPr="00EE5EB2">
        <w:rPr>
          <w:rFonts w:eastAsia="Times New Roman" w:cs="Arial"/>
          <w:lang w:eastAsia="en-GB"/>
        </w:rPr>
        <w:t>ect definition approved by the advisory g</w:t>
      </w:r>
      <w:r w:rsidRPr="00EE5EB2">
        <w:rPr>
          <w:rFonts w:eastAsia="Times New Roman" w:cs="Arial"/>
          <w:lang w:eastAsia="en-GB"/>
        </w:rPr>
        <w:t>roup established for these purposes. It goes on to survey in summary terms some of the relevant policy and market terrain (including economic, demographic and housing profiling).</w:t>
      </w:r>
    </w:p>
    <w:p w:rsidR="007440C5" w:rsidRPr="007440C5" w:rsidRDefault="007440C5" w:rsidP="007440C5">
      <w:pPr>
        <w:spacing w:before="120" w:after="0"/>
        <w:ind w:left="720" w:hanging="720"/>
        <w:outlineLvl w:val="0"/>
        <w:rPr>
          <w:rFonts w:eastAsia="Times New Roman" w:cs="Arial"/>
          <w:b/>
          <w:lang w:eastAsia="en-GB"/>
        </w:rPr>
      </w:pPr>
      <w:r w:rsidRPr="007440C5">
        <w:rPr>
          <w:rFonts w:eastAsia="Times New Roman" w:cs="Arial"/>
          <w:b/>
          <w:lang w:eastAsia="en-GB"/>
        </w:rPr>
        <w:t>1.1</w:t>
      </w:r>
      <w:r w:rsidRPr="007440C5">
        <w:rPr>
          <w:rFonts w:eastAsia="Times New Roman" w:cs="Arial"/>
          <w:b/>
          <w:lang w:eastAsia="en-GB"/>
        </w:rPr>
        <w:tab/>
        <w:t>Background</w:t>
      </w:r>
    </w:p>
    <w:p w:rsidR="007440C5" w:rsidRPr="007440C5" w:rsidRDefault="007440C5" w:rsidP="007440C5">
      <w:pPr>
        <w:spacing w:before="120" w:after="0"/>
        <w:ind w:left="720" w:hanging="720"/>
        <w:outlineLvl w:val="0"/>
        <w:rPr>
          <w:rFonts w:eastAsia="Times New Roman" w:cs="Arial"/>
          <w:lang w:eastAsia="en-GB"/>
        </w:rPr>
      </w:pPr>
      <w:r w:rsidRPr="007440C5">
        <w:rPr>
          <w:rFonts w:eastAsia="Times New Roman" w:cs="Arial"/>
          <w:lang w:eastAsia="en-GB"/>
        </w:rPr>
        <w:t>1.1.1</w:t>
      </w:r>
      <w:r w:rsidRPr="007440C5">
        <w:rPr>
          <w:rFonts w:eastAsia="Times New Roman" w:cs="Arial"/>
          <w:lang w:eastAsia="en-GB"/>
        </w:rPr>
        <w:tab/>
        <w:t xml:space="preserve">Since its implementation in autumn 2012, a package of radical policy reform in the funding of higher education and the sector’s </w:t>
      </w:r>
      <w:proofErr w:type="spellStart"/>
      <w:r w:rsidRPr="007440C5">
        <w:rPr>
          <w:rFonts w:eastAsia="Times New Roman" w:cs="Arial"/>
          <w:lang w:eastAsia="en-GB"/>
        </w:rPr>
        <w:t>marketisation</w:t>
      </w:r>
      <w:proofErr w:type="spellEnd"/>
      <w:r w:rsidRPr="007440C5">
        <w:rPr>
          <w:rFonts w:eastAsia="Times New Roman" w:cs="Arial"/>
          <w:lang w:eastAsia="en-GB"/>
        </w:rPr>
        <w:t xml:space="preserve"> have effected major change in the shape and patterning of student intakes nationally and locally. This period has been marked by a high level of volatility and the early emergence of some winners and losers in the student numbers game. While some segments – notably international students (both EU and non-EU), postgraduates and mature students – have experienced decline, the resilience of demand in the home full-time undergraduate market, notwithstanding the near tripling of tuition fees, has been the surprise headline. From it, the government has taken its cue to remove the cap on intakes from 2015/16. However, caution needs to be exercised in reading this as a guarantee of fulfilling expansionist ambitions across the board. As the sector continues to stratify and as institutional market positions continue to evolve and settle, some higher education providers will be in a position to exploit the new laissez-faire environment and any pent-up demand in the system, and others will not. There will be an element within the sector which will want to focus on quality and in so doing decide not to go for growth. There will also be an element which stands to lose market share at the expense of others’ success in building volume in student intakes. Much, however, remains unknown: whether a </w:t>
      </w:r>
      <w:proofErr w:type="spellStart"/>
      <w:r w:rsidRPr="007440C5">
        <w:rPr>
          <w:rFonts w:eastAsia="Times New Roman" w:cs="Arial"/>
          <w:lang w:eastAsia="en-GB"/>
        </w:rPr>
        <w:t>capless</w:t>
      </w:r>
      <w:proofErr w:type="spellEnd"/>
      <w:r w:rsidRPr="007440C5">
        <w:rPr>
          <w:rFonts w:eastAsia="Times New Roman" w:cs="Arial"/>
          <w:lang w:eastAsia="en-GB"/>
        </w:rPr>
        <w:t xml:space="preserve"> system is fundable beyond the short term; the policy approach of government after the 2015 General Election; and the success or otherwise of so-called ‘alternative [commercial] providers’. That said</w:t>
      </w:r>
      <w:proofErr w:type="gramStart"/>
      <w:r w:rsidRPr="007440C5">
        <w:rPr>
          <w:rFonts w:eastAsia="Times New Roman" w:cs="Arial"/>
          <w:lang w:eastAsia="en-GB"/>
        </w:rPr>
        <w:t>,</w:t>
      </w:r>
      <w:proofErr w:type="gramEnd"/>
      <w:r w:rsidRPr="007440C5">
        <w:rPr>
          <w:rFonts w:eastAsia="Times New Roman" w:cs="Arial"/>
          <w:lang w:eastAsia="en-GB"/>
        </w:rPr>
        <w:t xml:space="preserve"> it is a conclusion of this report that the institutions in Bradford are not currently well placed to achieve growth and may be vulnerable to predation from local and benchmark competitors, at least in the short term.  </w:t>
      </w:r>
    </w:p>
    <w:p w:rsidR="007440C5" w:rsidRPr="007440C5" w:rsidRDefault="007440C5" w:rsidP="007440C5">
      <w:pPr>
        <w:spacing w:before="120" w:after="0"/>
        <w:ind w:left="720" w:hanging="720"/>
        <w:outlineLvl w:val="0"/>
        <w:rPr>
          <w:rFonts w:eastAsia="Times New Roman" w:cs="Arial"/>
          <w:lang w:eastAsia="en-GB"/>
        </w:rPr>
      </w:pPr>
      <w:r w:rsidRPr="007440C5">
        <w:rPr>
          <w:rFonts w:eastAsia="Times New Roman" w:cs="Arial"/>
          <w:lang w:eastAsia="en-GB"/>
        </w:rPr>
        <w:t>1.1.2</w:t>
      </w:r>
      <w:r w:rsidRPr="007440C5">
        <w:rPr>
          <w:rFonts w:eastAsia="Times New Roman" w:cs="Arial"/>
          <w:lang w:eastAsia="en-GB"/>
        </w:rPr>
        <w:tab/>
        <w:t>Nationally, alongside shifts in student numbers, the student accommodation sector continues to experience structural change. Over the last two decades, in responding to the creation of a mass rather than elite higher education system, many institutions have increased the volume of bed spaces available in purpose-built accommodation, either themselves or through partnering arrangements with the commercial sector.</w:t>
      </w:r>
      <w:r w:rsidRPr="007440C5">
        <w:rPr>
          <w:rFonts w:eastAsia="Times New Roman" w:cs="Arial"/>
          <w:vertAlign w:val="superscript"/>
          <w:lang w:eastAsia="en-GB"/>
        </w:rPr>
        <w:footnoteReference w:id="2"/>
      </w:r>
      <w:r w:rsidRPr="007440C5">
        <w:rPr>
          <w:rFonts w:eastAsia="Times New Roman" w:cs="Arial"/>
          <w:lang w:eastAsia="en-GB"/>
        </w:rPr>
        <w:t xml:space="preserve"> Where this expansion has been insufficient to meet increased student demand, the private rented off-street sector has grown to absorb the excess. Latterly, however, in a volatile student numbers environment, competition to fill existing bed spaces has intensified in those local markets where </w:t>
      </w:r>
      <w:r w:rsidR="00DA6975">
        <w:rPr>
          <w:rFonts w:eastAsia="Times New Roman" w:cs="Arial"/>
          <w:lang w:eastAsia="en-GB"/>
        </w:rPr>
        <w:t>higher education institutions (</w:t>
      </w:r>
      <w:r w:rsidRPr="007440C5">
        <w:rPr>
          <w:rFonts w:eastAsia="Times New Roman" w:cs="Arial"/>
          <w:lang w:eastAsia="en-GB"/>
        </w:rPr>
        <w:t>HEIs</w:t>
      </w:r>
      <w:r w:rsidR="00DA6975">
        <w:rPr>
          <w:rFonts w:eastAsia="Times New Roman" w:cs="Arial"/>
          <w:lang w:eastAsia="en-GB"/>
        </w:rPr>
        <w:t>)</w:t>
      </w:r>
      <w:r w:rsidRPr="007440C5">
        <w:rPr>
          <w:rFonts w:eastAsia="Times New Roman" w:cs="Arial"/>
          <w:lang w:eastAsia="en-GB"/>
        </w:rPr>
        <w:t xml:space="preserve"> have experienced lower intakes. Combined with changing consumer expectations more widely, this has led institutions and other accommodation providers to recognise the important contribution that accommodation makes to the broader, student experience beyond academic quality.</w:t>
      </w:r>
      <w:r w:rsidRPr="007440C5">
        <w:rPr>
          <w:rFonts w:eastAsia="Times New Roman" w:cs="Arial"/>
          <w:vertAlign w:val="superscript"/>
          <w:lang w:eastAsia="en-GB"/>
        </w:rPr>
        <w:footnoteReference w:id="3"/>
      </w:r>
      <w:r w:rsidRPr="007440C5">
        <w:rPr>
          <w:rFonts w:eastAsia="Times New Roman" w:cs="Arial"/>
          <w:lang w:eastAsia="en-GB"/>
        </w:rPr>
        <w:t xml:space="preserve"> Accordingly, there has been significant investment in the quality, design and amenity level of purpose-built accommodation. Recent research carried out by Unipol in Leeds and Nottingham has shown that the heightened attractiveness of purpose-built accommodation is beginning to extend into the returning student sub-market, having been confined historically to new students.</w:t>
      </w:r>
      <w:r w:rsidR="007C456E">
        <w:rPr>
          <w:rStyle w:val="FootnoteReference"/>
          <w:rFonts w:eastAsia="Times New Roman" w:cs="Arial"/>
          <w:lang w:eastAsia="en-GB"/>
        </w:rPr>
        <w:footnoteReference w:id="4"/>
      </w:r>
    </w:p>
    <w:p w:rsidR="007440C5" w:rsidRPr="007440C5" w:rsidRDefault="007440C5" w:rsidP="007440C5">
      <w:pPr>
        <w:spacing w:before="120" w:after="0"/>
        <w:ind w:left="720" w:hanging="720"/>
        <w:outlineLvl w:val="0"/>
        <w:rPr>
          <w:rFonts w:eastAsia="Times New Roman" w:cs="Arial"/>
          <w:lang w:eastAsia="en-GB"/>
        </w:rPr>
      </w:pPr>
      <w:r w:rsidRPr="007440C5">
        <w:rPr>
          <w:rFonts w:eastAsia="Times New Roman" w:cs="Arial"/>
          <w:lang w:eastAsia="en-GB"/>
        </w:rPr>
        <w:lastRenderedPageBreak/>
        <w:t>1.1.3</w:t>
      </w:r>
      <w:r w:rsidRPr="007440C5">
        <w:rPr>
          <w:rFonts w:eastAsia="Times New Roman" w:cs="Arial"/>
          <w:lang w:eastAsia="en-GB"/>
        </w:rPr>
        <w:tab/>
        <w:t>The University of Bradford is finalising a new corporate strategy, the detailed content of which is currently embargoed</w:t>
      </w:r>
      <w:r>
        <w:rPr>
          <w:rFonts w:eastAsia="Times New Roman" w:cs="Arial"/>
          <w:lang w:eastAsia="en-GB"/>
        </w:rPr>
        <w:t xml:space="preserve">. From discussion with University managers it is understood that the new strategy </w:t>
      </w:r>
      <w:r w:rsidRPr="007440C5">
        <w:rPr>
          <w:rFonts w:eastAsia="Times New Roman" w:cs="Arial"/>
          <w:lang w:eastAsia="en-GB"/>
        </w:rPr>
        <w:t xml:space="preserve">sets out plans to transform the focus and profile of the institution and to make it fit to succeed in an increasingly competitive environment towards 2020. </w:t>
      </w:r>
    </w:p>
    <w:p w:rsidR="007440C5" w:rsidRPr="007440C5" w:rsidRDefault="007440C5" w:rsidP="007440C5">
      <w:pPr>
        <w:spacing w:before="120" w:after="0"/>
        <w:ind w:left="720"/>
        <w:outlineLvl w:val="0"/>
        <w:rPr>
          <w:rFonts w:eastAsia="Times New Roman" w:cs="Arial"/>
          <w:lang w:eastAsia="en-GB"/>
        </w:rPr>
      </w:pPr>
      <w:r w:rsidRPr="007440C5">
        <w:rPr>
          <w:rFonts w:eastAsia="Times New Roman" w:cs="Arial"/>
          <w:lang w:eastAsia="en-GB"/>
        </w:rPr>
        <w:t xml:space="preserve">Bradford College is also in the consultative phase in its planning cycle. In its draft strategy for 2015-20 it is clear that the institution aims to expand its higher and further education intake numbers and to develop the quality of both its academic and support services.   It is important for both institutions, in recognising that student choices are about more than just the course and the learning experience, that the attractiveness of the institution to prospective applicants is </w:t>
      </w:r>
      <w:r w:rsidR="001B4E51">
        <w:rPr>
          <w:rFonts w:eastAsia="Times New Roman" w:cs="Arial"/>
          <w:lang w:eastAsia="en-GB"/>
        </w:rPr>
        <w:t>underpinned by the provision of/</w:t>
      </w:r>
      <w:r w:rsidRPr="007440C5">
        <w:rPr>
          <w:rFonts w:eastAsia="Times New Roman" w:cs="Arial"/>
          <w:lang w:eastAsia="en-GB"/>
        </w:rPr>
        <w:t>easy access to an appropriate range of good quality accommodation, provided in the right numbers. Researching and analysing market trends (including student preferences and the changing shape of provision) are a precondition of developing a strategy that provides this underpinning through a cost-effective approach.</w:t>
      </w:r>
    </w:p>
    <w:p w:rsidR="007440C5" w:rsidRPr="007440C5" w:rsidRDefault="007440C5" w:rsidP="007440C5">
      <w:pPr>
        <w:spacing w:before="120" w:after="0"/>
        <w:outlineLvl w:val="0"/>
        <w:rPr>
          <w:rFonts w:eastAsia="Times New Roman" w:cs="Arial"/>
          <w:b/>
          <w:lang w:eastAsia="en-GB"/>
        </w:rPr>
      </w:pPr>
      <w:r w:rsidRPr="007440C5">
        <w:rPr>
          <w:rFonts w:eastAsia="Times New Roman" w:cs="Arial"/>
          <w:b/>
          <w:lang w:eastAsia="en-GB"/>
        </w:rPr>
        <w:t>1.2</w:t>
      </w:r>
      <w:r w:rsidRPr="007440C5">
        <w:rPr>
          <w:rFonts w:eastAsia="Times New Roman" w:cs="Arial"/>
          <w:b/>
          <w:lang w:eastAsia="en-GB"/>
        </w:rPr>
        <w:tab/>
        <w:t>Project definition</w:t>
      </w:r>
    </w:p>
    <w:p w:rsidR="007440C5" w:rsidRPr="007440C5" w:rsidRDefault="007440C5" w:rsidP="007440C5">
      <w:pPr>
        <w:spacing w:before="120" w:after="0"/>
        <w:outlineLvl w:val="0"/>
        <w:rPr>
          <w:rFonts w:eastAsia="Times New Roman" w:cs="Arial"/>
          <w:lang w:eastAsia="en-GB"/>
        </w:rPr>
      </w:pPr>
      <w:r w:rsidRPr="007440C5">
        <w:rPr>
          <w:rFonts w:eastAsia="Times New Roman" w:cs="Arial"/>
          <w:lang w:eastAsia="en-GB"/>
        </w:rPr>
        <w:t>1.2.1</w:t>
      </w:r>
      <w:r w:rsidRPr="007440C5">
        <w:rPr>
          <w:rFonts w:eastAsia="Times New Roman" w:cs="Arial"/>
          <w:lang w:eastAsia="en-GB"/>
        </w:rPr>
        <w:tab/>
        <w:t>The purpose of this research is:</w:t>
      </w:r>
    </w:p>
    <w:p w:rsidR="007440C5" w:rsidRPr="007440C5" w:rsidRDefault="007440C5" w:rsidP="001B4E51">
      <w:pPr>
        <w:numPr>
          <w:ilvl w:val="0"/>
          <w:numId w:val="8"/>
        </w:numPr>
        <w:spacing w:before="120" w:after="0"/>
        <w:ind w:left="993" w:hanging="273"/>
        <w:outlineLvl w:val="0"/>
        <w:rPr>
          <w:rFonts w:eastAsia="Calibri" w:cs="Calibri"/>
          <w:lang w:eastAsia="en-GB"/>
        </w:rPr>
      </w:pPr>
      <w:r w:rsidRPr="007440C5">
        <w:rPr>
          <w:rFonts w:eastAsia="Times New Roman" w:cs="Arial"/>
          <w:lang w:eastAsia="en-GB"/>
        </w:rPr>
        <w:t xml:space="preserve">to </w:t>
      </w:r>
      <w:r w:rsidRPr="007440C5">
        <w:rPr>
          <w:rFonts w:eastAsia="Calibri" w:cs="Calibri"/>
          <w:lang w:eastAsia="en-GB"/>
        </w:rPr>
        <w:t xml:space="preserve">establish reliable information to facilitate an informed debate on the current and future environment and on options for intervention </w:t>
      </w:r>
    </w:p>
    <w:p w:rsidR="007440C5" w:rsidRPr="007440C5" w:rsidRDefault="007440C5" w:rsidP="001B4E51">
      <w:pPr>
        <w:numPr>
          <w:ilvl w:val="0"/>
          <w:numId w:val="8"/>
        </w:numPr>
        <w:spacing w:before="120" w:after="0"/>
        <w:ind w:left="993" w:hanging="273"/>
        <w:outlineLvl w:val="0"/>
        <w:rPr>
          <w:rFonts w:eastAsia="Calibri" w:cs="Calibri"/>
          <w:lang w:eastAsia="en-GB"/>
        </w:rPr>
      </w:pPr>
      <w:r w:rsidRPr="007440C5">
        <w:rPr>
          <w:rFonts w:eastAsia="Calibri" w:cs="Calibri"/>
          <w:lang w:eastAsia="en-GB"/>
        </w:rPr>
        <w:t xml:space="preserve">to help stakeholders (Bradford Metropolitan District Council, the University of Bradford, Bradford College, Unipol and other student accommodation providers/agents) adjust their business models appropriately to account for change </w:t>
      </w:r>
    </w:p>
    <w:p w:rsidR="007440C5" w:rsidRPr="007440C5" w:rsidRDefault="007440C5" w:rsidP="001B4E51">
      <w:pPr>
        <w:numPr>
          <w:ilvl w:val="0"/>
          <w:numId w:val="8"/>
        </w:numPr>
        <w:spacing w:before="120" w:after="0"/>
        <w:ind w:left="993" w:hanging="273"/>
        <w:outlineLvl w:val="0"/>
        <w:rPr>
          <w:rFonts w:eastAsia="Calibri" w:cs="Calibri"/>
          <w:lang w:eastAsia="en-GB"/>
        </w:rPr>
      </w:pPr>
      <w:proofErr w:type="gramStart"/>
      <w:r w:rsidRPr="007440C5">
        <w:rPr>
          <w:rFonts w:eastAsia="Calibri" w:cs="Calibri"/>
          <w:lang w:eastAsia="en-GB"/>
        </w:rPr>
        <w:t>to</w:t>
      </w:r>
      <w:proofErr w:type="gramEnd"/>
      <w:r w:rsidRPr="007440C5">
        <w:rPr>
          <w:rFonts w:eastAsia="Calibri" w:cs="Calibri"/>
          <w:lang w:eastAsia="en-GB"/>
        </w:rPr>
        <w:t xml:space="preserve"> comment on the probable shape of the rental market both now and in the immediate future.</w:t>
      </w:r>
    </w:p>
    <w:p w:rsidR="007440C5" w:rsidRPr="007440C5" w:rsidRDefault="007440C5" w:rsidP="007440C5">
      <w:pPr>
        <w:spacing w:before="120" w:after="0"/>
        <w:outlineLvl w:val="0"/>
        <w:rPr>
          <w:rFonts w:eastAsia="Times New Roman" w:cs="Arial"/>
          <w:lang w:eastAsia="en-GB"/>
        </w:rPr>
      </w:pPr>
      <w:r w:rsidRPr="007440C5">
        <w:rPr>
          <w:rFonts w:eastAsia="Times New Roman" w:cs="Arial"/>
          <w:lang w:eastAsia="en-GB"/>
        </w:rPr>
        <w:t>1.2.2</w:t>
      </w:r>
      <w:r w:rsidRPr="007440C5">
        <w:rPr>
          <w:rFonts w:eastAsia="Times New Roman" w:cs="Arial"/>
          <w:lang w:eastAsia="en-GB"/>
        </w:rPr>
        <w:tab/>
        <w:t>The objectives were set as following:</w:t>
      </w:r>
    </w:p>
    <w:p w:rsidR="007440C5" w:rsidRPr="007440C5" w:rsidRDefault="007440C5" w:rsidP="001B4E51">
      <w:pPr>
        <w:numPr>
          <w:ilvl w:val="0"/>
          <w:numId w:val="9"/>
        </w:numPr>
        <w:spacing w:before="120" w:after="0"/>
        <w:ind w:left="993" w:hanging="273"/>
        <w:outlineLvl w:val="0"/>
        <w:rPr>
          <w:rFonts w:eastAsia="Times New Roman" w:cs="Arial"/>
          <w:lang w:eastAsia="en-GB"/>
        </w:rPr>
      </w:pPr>
      <w:r w:rsidRPr="007440C5">
        <w:rPr>
          <w:rFonts w:eastAsia="Times New Roman" w:cs="Arial"/>
          <w:lang w:eastAsia="en-GB"/>
        </w:rPr>
        <w:t>to survey the policy and strategic context for the housing of students in Bradford</w:t>
      </w:r>
    </w:p>
    <w:p w:rsidR="007440C5" w:rsidRPr="007440C5" w:rsidRDefault="007440C5" w:rsidP="001B4E51">
      <w:pPr>
        <w:numPr>
          <w:ilvl w:val="0"/>
          <w:numId w:val="9"/>
        </w:numPr>
        <w:spacing w:before="120" w:after="0"/>
        <w:ind w:left="993" w:hanging="273"/>
        <w:outlineLvl w:val="0"/>
        <w:rPr>
          <w:rFonts w:eastAsia="Times New Roman" w:cs="Arial"/>
          <w:lang w:eastAsia="en-GB"/>
        </w:rPr>
      </w:pPr>
      <w:r w:rsidRPr="007440C5">
        <w:rPr>
          <w:rFonts w:eastAsia="Times New Roman" w:cs="Arial"/>
          <w:lang w:eastAsia="en-GB"/>
        </w:rPr>
        <w:t>within that context, to identify patterns of provision and current use and likely future accommodation needs</w:t>
      </w:r>
    </w:p>
    <w:p w:rsidR="007440C5" w:rsidRPr="007440C5" w:rsidRDefault="007440C5" w:rsidP="001B4E51">
      <w:pPr>
        <w:numPr>
          <w:ilvl w:val="0"/>
          <w:numId w:val="9"/>
        </w:numPr>
        <w:spacing w:before="120" w:after="0"/>
        <w:ind w:left="993" w:hanging="273"/>
        <w:outlineLvl w:val="0"/>
        <w:rPr>
          <w:rFonts w:eastAsia="Times New Roman" w:cs="Arial"/>
          <w:lang w:eastAsia="en-GB"/>
        </w:rPr>
      </w:pPr>
      <w:r w:rsidRPr="007440C5">
        <w:rPr>
          <w:rFonts w:eastAsia="Times New Roman" w:cs="Arial"/>
          <w:lang w:eastAsia="en-GB"/>
        </w:rPr>
        <w:t xml:space="preserve">to analyse student housing demand and preference </w:t>
      </w:r>
    </w:p>
    <w:p w:rsidR="007440C5" w:rsidRPr="007440C5" w:rsidRDefault="007440C5" w:rsidP="001B4E51">
      <w:pPr>
        <w:numPr>
          <w:ilvl w:val="0"/>
          <w:numId w:val="9"/>
        </w:numPr>
        <w:spacing w:before="120" w:after="0"/>
        <w:ind w:left="993" w:hanging="273"/>
        <w:outlineLvl w:val="0"/>
        <w:rPr>
          <w:rFonts w:eastAsia="Times New Roman" w:cs="Arial"/>
          <w:lang w:eastAsia="en-GB"/>
        </w:rPr>
      </w:pPr>
      <w:r w:rsidRPr="007440C5">
        <w:rPr>
          <w:rFonts w:eastAsia="Times New Roman" w:cs="Arial"/>
          <w:lang w:eastAsia="en-GB"/>
        </w:rPr>
        <w:t>to investigate and evaluate whether the accommodation offered to students coming to Bradford meets the demand and preference of students and their parents</w:t>
      </w:r>
    </w:p>
    <w:p w:rsidR="007440C5" w:rsidRPr="007440C5" w:rsidRDefault="007440C5" w:rsidP="001B4E51">
      <w:pPr>
        <w:numPr>
          <w:ilvl w:val="0"/>
          <w:numId w:val="9"/>
        </w:numPr>
        <w:spacing w:before="120" w:after="0"/>
        <w:ind w:left="993" w:hanging="273"/>
        <w:outlineLvl w:val="0"/>
        <w:rPr>
          <w:rFonts w:eastAsia="Times New Roman" w:cs="Arial"/>
          <w:lang w:eastAsia="en-GB"/>
        </w:rPr>
      </w:pPr>
      <w:proofErr w:type="gramStart"/>
      <w:r w:rsidRPr="007440C5">
        <w:rPr>
          <w:rFonts w:eastAsia="Times New Roman" w:cs="Arial"/>
          <w:lang w:eastAsia="en-GB"/>
        </w:rPr>
        <w:t>to</w:t>
      </w:r>
      <w:proofErr w:type="gramEnd"/>
      <w:r w:rsidRPr="007440C5">
        <w:rPr>
          <w:rFonts w:eastAsia="Times New Roman" w:cs="Arial"/>
          <w:lang w:eastAsia="en-GB"/>
        </w:rPr>
        <w:t xml:space="preserve"> identify overall housing market drivers with a potential impact on student housing, the demographic composition of areas with student populations and the incidence of empty bed spaces/ properties in areas with student populations.  </w:t>
      </w:r>
    </w:p>
    <w:p w:rsidR="007440C5" w:rsidRPr="007440C5" w:rsidRDefault="007440C5" w:rsidP="007440C5">
      <w:pPr>
        <w:spacing w:before="120" w:after="0"/>
        <w:ind w:left="720" w:hanging="720"/>
        <w:outlineLvl w:val="0"/>
        <w:rPr>
          <w:rFonts w:eastAsia="Times New Roman" w:cs="Arial"/>
          <w:lang w:eastAsia="en-GB"/>
        </w:rPr>
      </w:pPr>
      <w:r w:rsidRPr="007440C5">
        <w:rPr>
          <w:rFonts w:eastAsia="Times New Roman" w:cs="Arial"/>
          <w:lang w:eastAsia="en-GB"/>
        </w:rPr>
        <w:t>1.2.3</w:t>
      </w:r>
      <w:r w:rsidRPr="007440C5">
        <w:rPr>
          <w:rFonts w:eastAsia="Times New Roman" w:cs="Arial"/>
          <w:lang w:eastAsia="en-GB"/>
        </w:rPr>
        <w:tab/>
        <w:t>In Bradford currently student accommodation provision is mixed both in terms of type, age and level of amenity and facilities. Specifically, therefore the research has aimed to identify:</w:t>
      </w:r>
    </w:p>
    <w:p w:rsidR="007440C5" w:rsidRPr="007440C5" w:rsidRDefault="007440C5" w:rsidP="001B4E51">
      <w:pPr>
        <w:numPr>
          <w:ilvl w:val="0"/>
          <w:numId w:val="10"/>
        </w:numPr>
        <w:spacing w:before="120" w:after="0"/>
        <w:ind w:left="993" w:hanging="273"/>
        <w:outlineLvl w:val="0"/>
        <w:rPr>
          <w:rFonts w:eastAsia="Times New Roman" w:cs="Arial"/>
          <w:lang w:eastAsia="en-GB"/>
        </w:rPr>
      </w:pPr>
      <w:r w:rsidRPr="007440C5">
        <w:rPr>
          <w:rFonts w:eastAsia="Times New Roman" w:cs="Arial"/>
          <w:lang w:eastAsia="en-GB"/>
        </w:rPr>
        <w:t>the balance of student residence between purpose-built student accommodation (PBSA), off-street rented housing and residence in the</w:t>
      </w:r>
      <w:r w:rsidR="00B26FEF">
        <w:rPr>
          <w:rFonts w:eastAsia="Times New Roman" w:cs="Arial"/>
          <w:lang w:eastAsia="en-GB"/>
        </w:rPr>
        <w:t>ir</w:t>
      </w:r>
      <w:r w:rsidRPr="007440C5">
        <w:rPr>
          <w:rFonts w:eastAsia="Times New Roman" w:cs="Arial"/>
          <w:lang w:eastAsia="en-GB"/>
        </w:rPr>
        <w:t xml:space="preserve"> own </w:t>
      </w:r>
      <w:r w:rsidR="00B26FEF">
        <w:rPr>
          <w:rFonts w:eastAsia="Times New Roman" w:cs="Arial"/>
          <w:lang w:eastAsia="en-GB"/>
        </w:rPr>
        <w:t xml:space="preserve">or their parents’ </w:t>
      </w:r>
      <w:r w:rsidRPr="007440C5">
        <w:rPr>
          <w:rFonts w:eastAsia="Times New Roman" w:cs="Arial"/>
          <w:lang w:eastAsia="en-GB"/>
        </w:rPr>
        <w:t>home</w:t>
      </w:r>
    </w:p>
    <w:p w:rsidR="007440C5" w:rsidRPr="007440C5" w:rsidRDefault="007440C5" w:rsidP="001B4E51">
      <w:pPr>
        <w:numPr>
          <w:ilvl w:val="0"/>
          <w:numId w:val="10"/>
        </w:numPr>
        <w:spacing w:before="120" w:after="0"/>
        <w:ind w:left="993" w:hanging="273"/>
        <w:outlineLvl w:val="0"/>
        <w:rPr>
          <w:rFonts w:eastAsia="Times New Roman" w:cs="Arial"/>
          <w:lang w:eastAsia="en-GB"/>
        </w:rPr>
      </w:pPr>
      <w:r w:rsidRPr="007440C5">
        <w:rPr>
          <w:rFonts w:eastAsia="Times New Roman" w:cs="Arial"/>
          <w:lang w:eastAsia="en-GB"/>
        </w:rPr>
        <w:t>changes in student residence and demand between 2009 and 2014 (using these two years’ data as bases for comparison)</w:t>
      </w:r>
    </w:p>
    <w:p w:rsidR="007440C5" w:rsidRPr="007440C5" w:rsidRDefault="007440C5" w:rsidP="001B4E51">
      <w:pPr>
        <w:numPr>
          <w:ilvl w:val="0"/>
          <w:numId w:val="10"/>
        </w:numPr>
        <w:spacing w:before="120" w:after="0"/>
        <w:ind w:left="993" w:hanging="273"/>
        <w:outlineLvl w:val="0"/>
        <w:rPr>
          <w:rFonts w:eastAsia="Times New Roman" w:cs="Arial"/>
          <w:lang w:eastAsia="en-GB"/>
        </w:rPr>
      </w:pPr>
      <w:r w:rsidRPr="007440C5">
        <w:rPr>
          <w:rFonts w:eastAsia="Times New Roman" w:cs="Arial"/>
          <w:lang w:eastAsia="en-GB"/>
        </w:rPr>
        <w:t>the impacts of the building of substantial stocks of purpose-built accommodation in Bradford</w:t>
      </w:r>
    </w:p>
    <w:p w:rsidR="007440C5" w:rsidRPr="007440C5" w:rsidRDefault="007440C5" w:rsidP="001B4E51">
      <w:pPr>
        <w:numPr>
          <w:ilvl w:val="0"/>
          <w:numId w:val="10"/>
        </w:numPr>
        <w:spacing w:before="120" w:after="0"/>
        <w:ind w:left="993" w:hanging="273"/>
        <w:outlineLvl w:val="0"/>
        <w:rPr>
          <w:rFonts w:eastAsia="Times New Roman" w:cs="Arial"/>
          <w:lang w:eastAsia="en-GB"/>
        </w:rPr>
      </w:pPr>
      <w:proofErr w:type="gramStart"/>
      <w:r w:rsidRPr="007440C5">
        <w:rPr>
          <w:rFonts w:eastAsia="Times New Roman" w:cs="Arial"/>
          <w:lang w:eastAsia="en-GB"/>
        </w:rPr>
        <w:t>the</w:t>
      </w:r>
      <w:proofErr w:type="gramEnd"/>
      <w:r w:rsidRPr="007440C5">
        <w:rPr>
          <w:rFonts w:eastAsia="Times New Roman" w:cs="Arial"/>
          <w:lang w:eastAsia="en-GB"/>
        </w:rPr>
        <w:t xml:space="preserve"> changing nature of student demand.</w:t>
      </w:r>
    </w:p>
    <w:p w:rsidR="007440C5" w:rsidRPr="007440C5" w:rsidRDefault="007440C5" w:rsidP="00BB288F">
      <w:pPr>
        <w:spacing w:before="120" w:after="0"/>
        <w:ind w:left="720"/>
        <w:outlineLvl w:val="0"/>
        <w:rPr>
          <w:rFonts w:cs="Arial"/>
          <w:b/>
          <w:lang w:val="en-US" w:eastAsia="en-GB"/>
        </w:rPr>
      </w:pPr>
      <w:r w:rsidRPr="007440C5">
        <w:rPr>
          <w:rFonts w:eastAsia="Times New Roman" w:cs="Arial"/>
          <w:lang w:eastAsia="en-GB"/>
        </w:rPr>
        <w:lastRenderedPageBreak/>
        <w:t xml:space="preserve">The research has been undertaken with the co-operation and full practical input and support of the University of Bradford, Bradford College and the City of Bradford Metropolitan District Council. </w:t>
      </w:r>
    </w:p>
    <w:p w:rsidR="007440C5" w:rsidRPr="007440C5" w:rsidRDefault="007440C5" w:rsidP="007440C5">
      <w:pPr>
        <w:spacing w:before="120" w:after="0"/>
        <w:jc w:val="both"/>
        <w:rPr>
          <w:rFonts w:cs="Arial"/>
          <w:b/>
          <w:lang w:val="en-US" w:eastAsia="en-GB"/>
        </w:rPr>
      </w:pPr>
      <w:r w:rsidRPr="007440C5">
        <w:rPr>
          <w:rFonts w:cs="Arial"/>
          <w:b/>
          <w:lang w:val="en-US" w:eastAsia="en-GB"/>
        </w:rPr>
        <w:t>1.3</w:t>
      </w:r>
      <w:r w:rsidRPr="007440C5">
        <w:rPr>
          <w:rFonts w:cs="Arial"/>
          <w:lang w:val="en-US" w:eastAsia="en-GB"/>
        </w:rPr>
        <w:t xml:space="preserve">  </w:t>
      </w:r>
      <w:r w:rsidRPr="007440C5">
        <w:rPr>
          <w:rFonts w:cs="Arial"/>
          <w:lang w:val="en-US" w:eastAsia="en-GB"/>
        </w:rPr>
        <w:tab/>
      </w:r>
      <w:r w:rsidRPr="007440C5">
        <w:rPr>
          <w:rFonts w:cs="Arial"/>
          <w:b/>
          <w:lang w:val="en-US" w:eastAsia="en-GB"/>
        </w:rPr>
        <w:t>Current national policy context</w:t>
      </w:r>
    </w:p>
    <w:p w:rsidR="007440C5" w:rsidRPr="007440C5" w:rsidRDefault="007440C5" w:rsidP="007440C5">
      <w:pPr>
        <w:spacing w:before="120" w:after="0"/>
        <w:jc w:val="both"/>
        <w:rPr>
          <w:rFonts w:cs="Arial"/>
          <w:i/>
          <w:lang w:val="en-US" w:eastAsia="en-GB"/>
        </w:rPr>
      </w:pPr>
      <w:r w:rsidRPr="0010667E">
        <w:rPr>
          <w:rFonts w:cs="Arial"/>
          <w:lang w:val="en-US" w:eastAsia="en-GB"/>
        </w:rPr>
        <w:t>1.3.1</w:t>
      </w:r>
      <w:r w:rsidRPr="007440C5">
        <w:rPr>
          <w:rFonts w:cs="Arial"/>
          <w:i/>
          <w:lang w:val="en-US" w:eastAsia="en-GB"/>
        </w:rPr>
        <w:tab/>
        <w:t>Higher education</w:t>
      </w:r>
    </w:p>
    <w:p w:rsidR="007440C5" w:rsidRPr="007440C5" w:rsidRDefault="007440C5" w:rsidP="007440C5">
      <w:pPr>
        <w:spacing w:before="120" w:after="0"/>
        <w:ind w:left="720"/>
        <w:jc w:val="both"/>
        <w:rPr>
          <w:rFonts w:cs="Arial"/>
          <w:lang w:val="en-US" w:eastAsia="en-GB"/>
        </w:rPr>
      </w:pPr>
      <w:r w:rsidRPr="007440C5">
        <w:rPr>
          <w:rFonts w:cs="Arial"/>
          <w:lang w:val="en-US" w:eastAsia="en-GB"/>
        </w:rPr>
        <w:t xml:space="preserve">Changes to national higher education policy in recent years significantly affect the shape and direction of housing markets in cities with large student populations. Chief amongst these have been the legislative and regulatory measures </w:t>
      </w:r>
      <w:proofErr w:type="gramStart"/>
      <w:r w:rsidRPr="007440C5">
        <w:rPr>
          <w:rFonts w:cs="Arial"/>
          <w:lang w:val="en-US" w:eastAsia="en-GB"/>
        </w:rPr>
        <w:t>effected</w:t>
      </w:r>
      <w:proofErr w:type="gramEnd"/>
      <w:r w:rsidRPr="007440C5">
        <w:rPr>
          <w:rFonts w:cs="Arial"/>
          <w:lang w:val="en-US" w:eastAsia="en-GB"/>
        </w:rPr>
        <w:t xml:space="preserve"> by the coalition government from autumn 2012. To date, these have created uncertainty and variant fortunes for both higher education and student accommodation providers. The prospect of further market </w:t>
      </w:r>
      <w:proofErr w:type="spellStart"/>
      <w:r w:rsidRPr="007440C5">
        <w:rPr>
          <w:rFonts w:cs="Arial"/>
          <w:lang w:val="en-US" w:eastAsia="en-GB"/>
        </w:rPr>
        <w:t>liberalisation</w:t>
      </w:r>
      <w:proofErr w:type="spellEnd"/>
      <w:r w:rsidRPr="007440C5">
        <w:rPr>
          <w:rFonts w:cs="Arial"/>
          <w:lang w:val="en-US" w:eastAsia="en-GB"/>
        </w:rPr>
        <w:t xml:space="preserve"> in the higher education market now heightens the mood of uncertainty. What is clear is that some institutions will be beneficiaries and some will lose out. These outcomes will feed directly through to student housing markets and suppliers that operate in them. The intensification of competition among education providers will therefore be closely paralleled among student housing providers, both within and between the sub-markets of institutional, purpose-built and off-street provision.  . </w:t>
      </w:r>
    </w:p>
    <w:p w:rsidR="007440C5" w:rsidRPr="007440C5" w:rsidRDefault="007440C5" w:rsidP="007440C5">
      <w:pPr>
        <w:spacing w:before="120" w:after="0"/>
        <w:jc w:val="both"/>
        <w:rPr>
          <w:rFonts w:eastAsia="Times New Roman" w:cs="Arial"/>
          <w:i/>
          <w:lang w:val="en-US" w:eastAsia="en-GB"/>
        </w:rPr>
      </w:pPr>
      <w:r w:rsidRPr="0010667E">
        <w:rPr>
          <w:rFonts w:eastAsia="Times New Roman" w:cs="Arial"/>
          <w:lang w:val="en-US" w:eastAsia="en-GB"/>
        </w:rPr>
        <w:t>1.3.2</w:t>
      </w:r>
      <w:r w:rsidRPr="007440C5">
        <w:rPr>
          <w:rFonts w:eastAsia="Times New Roman" w:cs="Arial"/>
          <w:i/>
          <w:lang w:val="en-US" w:eastAsia="en-GB"/>
        </w:rPr>
        <w:tab/>
        <w:t>Welfare reform</w:t>
      </w:r>
    </w:p>
    <w:p w:rsidR="007440C5" w:rsidRPr="007440C5" w:rsidRDefault="007440C5" w:rsidP="007440C5">
      <w:pPr>
        <w:spacing w:before="120" w:after="0"/>
        <w:ind w:left="720"/>
        <w:jc w:val="both"/>
        <w:rPr>
          <w:rFonts w:eastAsia="Times New Roman" w:cs="Arial"/>
          <w:lang w:eastAsia="en-GB"/>
        </w:rPr>
      </w:pPr>
      <w:r w:rsidRPr="007440C5">
        <w:rPr>
          <w:rFonts w:eastAsia="Times New Roman" w:cs="Arial"/>
          <w:lang w:val="en-US" w:eastAsia="en-GB"/>
        </w:rPr>
        <w:t>It is likely that the supply of shared housing will need to increase as a result of welfare</w:t>
      </w:r>
      <w:r w:rsidRPr="007440C5">
        <w:rPr>
          <w:rFonts w:eastAsia="Times New Roman" w:cs="Arial"/>
          <w:lang w:eastAsia="en-GB"/>
        </w:rPr>
        <w:t xml:space="preserve"> reform introduced in April 2012 to restrict housing benefit for claimants under 35 to the cost of a room in a shared house.</w:t>
      </w:r>
    </w:p>
    <w:p w:rsidR="007440C5" w:rsidRPr="007440C5" w:rsidRDefault="007440C5" w:rsidP="007440C5">
      <w:pPr>
        <w:spacing w:before="120" w:after="0"/>
        <w:jc w:val="both"/>
        <w:rPr>
          <w:rFonts w:eastAsia="Times New Roman" w:cs="Arial"/>
          <w:i/>
          <w:lang w:eastAsia="en-GB"/>
        </w:rPr>
      </w:pPr>
      <w:r w:rsidRPr="0010667E">
        <w:rPr>
          <w:rFonts w:eastAsia="Times New Roman" w:cs="Arial"/>
          <w:lang w:eastAsia="en-GB"/>
        </w:rPr>
        <w:t>1.3.3</w:t>
      </w:r>
      <w:r w:rsidRPr="007440C5">
        <w:rPr>
          <w:rFonts w:eastAsia="Times New Roman" w:cs="Arial"/>
          <w:i/>
          <w:lang w:eastAsia="en-GB"/>
        </w:rPr>
        <w:tab/>
        <w:t>Localism</w:t>
      </w:r>
    </w:p>
    <w:p w:rsidR="007440C5" w:rsidRPr="007440C5" w:rsidRDefault="007440C5" w:rsidP="007440C5">
      <w:pPr>
        <w:spacing w:before="120" w:after="0"/>
        <w:ind w:left="720"/>
        <w:jc w:val="both"/>
        <w:rPr>
          <w:rFonts w:eastAsia="Times New Roman" w:cs="Arial"/>
          <w:lang w:eastAsia="en-GB"/>
        </w:rPr>
      </w:pPr>
      <w:r w:rsidRPr="007440C5">
        <w:rPr>
          <w:rFonts w:eastAsia="Times New Roman" w:cs="Arial"/>
          <w:lang w:eastAsia="en-GB"/>
        </w:rPr>
        <w:t xml:space="preserve">The Localism Act 2011 enables local authorities to fulfil their duty to rehouse in private rented housing. This may exert pressure on landlords, unable to let to students, to consider letting to homeless families and other households in housing need. </w:t>
      </w:r>
    </w:p>
    <w:p w:rsidR="007440C5" w:rsidRPr="007440C5" w:rsidRDefault="007440C5" w:rsidP="007440C5">
      <w:pPr>
        <w:spacing w:before="120" w:after="0"/>
        <w:jc w:val="both"/>
        <w:rPr>
          <w:rFonts w:eastAsia="Times New Roman" w:cs="Arial"/>
          <w:i/>
          <w:lang w:eastAsia="en-GB"/>
        </w:rPr>
      </w:pPr>
      <w:r w:rsidRPr="0010667E">
        <w:rPr>
          <w:rFonts w:eastAsia="Times New Roman" w:cs="Arial"/>
          <w:lang w:eastAsia="en-GB"/>
        </w:rPr>
        <w:t>1.3.4</w:t>
      </w:r>
      <w:r w:rsidRPr="007440C5">
        <w:rPr>
          <w:rFonts w:eastAsia="Times New Roman" w:cs="Arial"/>
          <w:i/>
          <w:lang w:eastAsia="en-GB"/>
        </w:rPr>
        <w:tab/>
        <w:t>Housing markets and strategy</w:t>
      </w:r>
    </w:p>
    <w:p w:rsidR="007440C5" w:rsidRPr="007440C5" w:rsidRDefault="007440C5" w:rsidP="007440C5">
      <w:pPr>
        <w:spacing w:before="120" w:after="0"/>
        <w:ind w:left="720"/>
        <w:jc w:val="both"/>
        <w:rPr>
          <w:rFonts w:eastAsia="Times New Roman" w:cs="Arial"/>
          <w:lang w:eastAsia="en-GB"/>
        </w:rPr>
      </w:pPr>
      <w:r w:rsidRPr="007440C5">
        <w:rPr>
          <w:rFonts w:eastAsia="Times New Roman" w:cs="Arial"/>
          <w:lang w:eastAsia="en-GB"/>
        </w:rPr>
        <w:t>There is strong evidence that, over the last five years, major housing market changes have taken place which have affected the housing options open to households in Bradford.</w:t>
      </w:r>
    </w:p>
    <w:p w:rsidR="007440C5" w:rsidRPr="007440C5" w:rsidRDefault="007440C5" w:rsidP="007440C5">
      <w:pPr>
        <w:spacing w:before="120" w:after="0"/>
        <w:ind w:left="720"/>
        <w:jc w:val="both"/>
        <w:rPr>
          <w:rFonts w:eastAsia="Times New Roman" w:cs="Arial"/>
          <w:bCs/>
          <w:noProof/>
          <w:color w:val="000000"/>
          <w:lang w:eastAsia="en-GB"/>
        </w:rPr>
      </w:pPr>
      <w:r w:rsidRPr="007440C5">
        <w:rPr>
          <w:rFonts w:eastAsia="Times New Roman" w:cs="Arial"/>
          <w:bCs/>
          <w:noProof/>
          <w:color w:val="000000"/>
          <w:lang w:eastAsia="en-GB"/>
        </w:rPr>
        <w:t xml:space="preserve">Since the credit crunch in 2008 the banking sector has adopted restrictive lending practices. To obtain a mortgage, borrowers are required to make significantly larger deposits than was previously the case.  At the same time, house prices in many areas are unaffordable to first-time buyers, notwithstanding the price falls seen in some areas and for some property types. Taken together, these factors have conspired to present many first-time buyers with highly challenging or insurmountable obstacles to gaining access to home ownership.  </w:t>
      </w:r>
    </w:p>
    <w:p w:rsidR="007440C5" w:rsidRPr="007440C5" w:rsidRDefault="007440C5" w:rsidP="007440C5">
      <w:pPr>
        <w:spacing w:before="120" w:after="0"/>
        <w:ind w:left="720"/>
        <w:jc w:val="both"/>
        <w:rPr>
          <w:rFonts w:eastAsia="Times New Roman" w:cs="Arial"/>
          <w:bCs/>
          <w:noProof/>
          <w:color w:val="000000"/>
          <w:lang w:eastAsia="en-GB"/>
        </w:rPr>
      </w:pPr>
      <w:r w:rsidRPr="007440C5">
        <w:rPr>
          <w:rFonts w:eastAsia="Times New Roman" w:cs="Arial"/>
          <w:bCs/>
          <w:noProof/>
          <w:color w:val="000000"/>
          <w:lang w:eastAsia="en-GB"/>
        </w:rPr>
        <w:t xml:space="preserve">The difficulties faced by those on around average incomes in becoming home owners have led to an increase in renting. However, many of those in the ‘squeezed middle’ would have difficulties affording full market rents,  and many single people in work are deciding to take up shared housing in the private rented sector instead.  </w:t>
      </w:r>
    </w:p>
    <w:p w:rsidR="007440C5" w:rsidRPr="007440C5" w:rsidRDefault="007440C5" w:rsidP="007440C5">
      <w:pPr>
        <w:spacing w:before="120" w:after="0"/>
        <w:ind w:left="720"/>
        <w:jc w:val="both"/>
        <w:rPr>
          <w:rFonts w:eastAsia="Times New Roman" w:cs="Arial"/>
          <w:bCs/>
          <w:noProof/>
          <w:color w:val="000000"/>
          <w:lang w:eastAsia="en-GB"/>
        </w:rPr>
      </w:pPr>
      <w:r w:rsidRPr="007440C5">
        <w:rPr>
          <w:rFonts w:eastAsia="Times New Roman" w:cs="Arial"/>
          <w:bCs/>
          <w:noProof/>
          <w:color w:val="000000"/>
          <w:lang w:eastAsia="en-GB"/>
        </w:rPr>
        <w:t>The government’s intention to define affordable housing as being set at rents at 80</w:t>
      </w:r>
      <w:r w:rsidR="00BB288F">
        <w:rPr>
          <w:rFonts w:eastAsia="Times New Roman" w:cs="Arial"/>
          <w:bCs/>
          <w:noProof/>
          <w:color w:val="000000"/>
          <w:lang w:eastAsia="en-GB"/>
        </w:rPr>
        <w:t xml:space="preserve"> per cent</w:t>
      </w:r>
      <w:r w:rsidRPr="007440C5">
        <w:rPr>
          <w:rFonts w:eastAsia="Times New Roman" w:cs="Arial"/>
          <w:bCs/>
          <w:noProof/>
          <w:color w:val="000000"/>
          <w:lang w:eastAsia="en-GB"/>
        </w:rPr>
        <w:t xml:space="preserve"> of market levels (‘Affordable Rents’) reduces prospects for developing additional homes for letting at social rents. Recent proposals to force housing built to replace homes sold under the ‘reinvigorated right to buy’ to be offered at Affordable Rents make these prospects very remote. This bleak outlook has, furthermore, prompted concerns that letting to benefit claimants at 80 per cent market rents  could create a trap in which claimants would only be able to afford the rents while on benefit and would be unable to afford them if they took up low-paid work.  Concern has also been registered </w:t>
      </w:r>
      <w:r w:rsidRPr="007440C5">
        <w:rPr>
          <w:rFonts w:eastAsia="Times New Roman" w:cs="Arial"/>
          <w:bCs/>
          <w:noProof/>
          <w:color w:val="000000"/>
          <w:lang w:eastAsia="en-GB"/>
        </w:rPr>
        <w:lastRenderedPageBreak/>
        <w:t>that relettings at 80 per cent market rents could create a two-tier housing association or council stock.</w:t>
      </w:r>
    </w:p>
    <w:p w:rsidR="007440C5" w:rsidRPr="007440C5" w:rsidRDefault="007440C5" w:rsidP="007440C5">
      <w:pPr>
        <w:spacing w:before="120" w:after="0"/>
        <w:ind w:left="720"/>
        <w:jc w:val="both"/>
        <w:rPr>
          <w:rFonts w:eastAsia="Times New Roman" w:cs="Arial"/>
          <w:bCs/>
          <w:noProof/>
          <w:color w:val="000000"/>
          <w:lang w:eastAsia="en-GB"/>
        </w:rPr>
      </w:pPr>
      <w:r w:rsidRPr="007440C5">
        <w:rPr>
          <w:rFonts w:eastAsia="Times New Roman" w:cs="Arial"/>
          <w:bCs/>
          <w:noProof/>
          <w:color w:val="000000"/>
          <w:lang w:eastAsia="en-GB"/>
        </w:rPr>
        <w:t>Affordable Rents could, however, be attractive and affordable to average earners who are unable to buy. They could also provide a ‘new’ market for housing associations.  Products offered through the Homebuy and local authority mortgage schemes, along with rent to mortgage schemes, may enable first-time buyers to find a route into home ownership, but critics of such schemes fear they may con</w:t>
      </w:r>
      <w:r w:rsidR="0010667E">
        <w:rPr>
          <w:rFonts w:eastAsia="Times New Roman" w:cs="Arial"/>
          <w:bCs/>
          <w:noProof/>
          <w:color w:val="000000"/>
          <w:lang w:eastAsia="en-GB"/>
        </w:rPr>
        <w:t>tribute to house price bubbles</w:t>
      </w:r>
      <w:r w:rsidRPr="007440C5">
        <w:rPr>
          <w:rFonts w:eastAsia="Times New Roman" w:cs="Arial"/>
          <w:bCs/>
          <w:noProof/>
          <w:color w:val="000000"/>
          <w:lang w:eastAsia="en-GB"/>
        </w:rPr>
        <w:t>.</w:t>
      </w:r>
    </w:p>
    <w:p w:rsidR="007440C5" w:rsidRPr="0010667E" w:rsidRDefault="007440C5" w:rsidP="007440C5">
      <w:pPr>
        <w:spacing w:before="120" w:after="0"/>
      </w:pPr>
      <w:r w:rsidRPr="0010667E">
        <w:t>1.3.5</w:t>
      </w:r>
      <w:r w:rsidRPr="0010667E">
        <w:tab/>
      </w:r>
      <w:r w:rsidRPr="0010667E">
        <w:rPr>
          <w:i/>
        </w:rPr>
        <w:t>The local demographic and economic context</w:t>
      </w:r>
    </w:p>
    <w:p w:rsidR="007440C5" w:rsidRPr="007440C5" w:rsidRDefault="007440C5" w:rsidP="007440C5">
      <w:pPr>
        <w:spacing w:before="120" w:after="0"/>
        <w:ind w:firstLine="720"/>
        <w:rPr>
          <w:u w:val="single"/>
        </w:rPr>
      </w:pPr>
      <w:r w:rsidRPr="007440C5">
        <w:rPr>
          <w:u w:val="single"/>
        </w:rPr>
        <w:t>Location of students</w:t>
      </w:r>
    </w:p>
    <w:p w:rsidR="007440C5" w:rsidRPr="007440C5" w:rsidRDefault="007440C5" w:rsidP="007440C5">
      <w:pPr>
        <w:spacing w:before="120" w:after="0"/>
        <w:ind w:left="720"/>
      </w:pPr>
      <w:r w:rsidRPr="007440C5">
        <w:t>Analysis of the 2011 Census shows that 6.7</w:t>
      </w:r>
      <w:r w:rsidR="00BB288F">
        <w:t xml:space="preserve"> per cent</w:t>
      </w:r>
      <w:r w:rsidRPr="007440C5">
        <w:t xml:space="preserve"> of the population of Bradford were full-time students over 16, in general terms distributed widely over the district. Table 22 below shows that only one ward – City Ward – had a substantial student population, unsurprising in virtue of its proximity to the University of Bradford campus and Bradford College. </w:t>
      </w:r>
    </w:p>
    <w:p w:rsidR="007440C5" w:rsidRPr="007440C5" w:rsidRDefault="007440C5" w:rsidP="00EE5EB2">
      <w:pPr>
        <w:tabs>
          <w:tab w:val="left" w:pos="1701"/>
        </w:tabs>
        <w:spacing w:before="120" w:after="100" w:afterAutospacing="1"/>
        <w:ind w:left="720"/>
        <w:rPr>
          <w:i/>
        </w:rPr>
      </w:pPr>
      <w:r w:rsidRPr="007440C5">
        <w:rPr>
          <w:i/>
        </w:rPr>
        <w:t>Table 1:</w:t>
      </w:r>
      <w:r w:rsidRPr="007440C5">
        <w:rPr>
          <w:i/>
        </w:rPr>
        <w:tab/>
        <w:t xml:space="preserve">Full-time students as a percentage of the population of wards with above average </w:t>
      </w:r>
      <w:r w:rsidR="0010667E">
        <w:rPr>
          <w:i/>
        </w:rPr>
        <w:tab/>
      </w:r>
      <w:r w:rsidR="0010667E">
        <w:rPr>
          <w:i/>
        </w:rPr>
        <w:tab/>
      </w:r>
      <w:r w:rsidRPr="007440C5">
        <w:rPr>
          <w:i/>
        </w:rPr>
        <w:t>student populations</w:t>
      </w:r>
    </w:p>
    <w:tbl>
      <w:tblPr>
        <w:tblW w:w="8002" w:type="dxa"/>
        <w:tblInd w:w="7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91"/>
        <w:gridCol w:w="1418"/>
        <w:gridCol w:w="1417"/>
        <w:gridCol w:w="1276"/>
      </w:tblGrid>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b/>
                <w:bCs/>
                <w:sz w:val="20"/>
                <w:szCs w:val="20"/>
                <w:lang w:eastAsia="en-GB"/>
              </w:rPr>
            </w:pPr>
            <w:r w:rsidRPr="007440C5">
              <w:rPr>
                <w:rFonts w:eastAsia="Times New Roman" w:cs="Times New Roman"/>
                <w:b/>
                <w:bCs/>
                <w:sz w:val="20"/>
                <w:szCs w:val="20"/>
                <w:lang w:eastAsia="en-GB"/>
              </w:rPr>
              <w:t>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b/>
                <w:bCs/>
                <w:sz w:val="20"/>
                <w:szCs w:val="20"/>
                <w:lang w:eastAsia="en-GB"/>
              </w:rPr>
            </w:pPr>
            <w:r w:rsidRPr="007440C5">
              <w:rPr>
                <w:rFonts w:eastAsia="Times New Roman" w:cs="Times New Roman"/>
                <w:b/>
                <w:bCs/>
                <w:sz w:val="20"/>
                <w:szCs w:val="20"/>
                <w:lang w:eastAsia="en-GB"/>
              </w:rPr>
              <w:t xml:space="preserve">Students </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b/>
                <w:bCs/>
                <w:sz w:val="20"/>
                <w:szCs w:val="20"/>
                <w:lang w:eastAsia="en-GB"/>
              </w:rPr>
            </w:pPr>
            <w:r w:rsidRPr="007440C5">
              <w:rPr>
                <w:rFonts w:eastAsia="Times New Roman" w:cs="Times New Roman"/>
                <w:b/>
                <w:bCs/>
                <w:sz w:val="20"/>
                <w:szCs w:val="20"/>
                <w:lang w:eastAsia="en-GB"/>
              </w:rPr>
              <w:t>Population</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City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6,241</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23,485</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26.57%</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Toller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1,784</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19,914</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8.96%</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Bradford Moor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1,883</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21,210</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8.88%</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proofErr w:type="spellStart"/>
            <w:r w:rsidRPr="007440C5">
              <w:rPr>
                <w:rFonts w:eastAsia="Times New Roman" w:cs="Times New Roman"/>
                <w:sz w:val="20"/>
                <w:szCs w:val="20"/>
                <w:lang w:eastAsia="en-GB"/>
              </w:rPr>
              <w:t>Manningham</w:t>
            </w:r>
            <w:proofErr w:type="spellEnd"/>
            <w:r w:rsidRPr="007440C5">
              <w:rPr>
                <w:rFonts w:eastAsia="Times New Roman" w:cs="Times New Roman"/>
                <w:sz w:val="20"/>
                <w:szCs w:val="20"/>
                <w:lang w:eastAsia="en-GB"/>
              </w:rPr>
              <w:t xml:space="preserve">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1,685</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19,983</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8.43%</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Heaton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1,427</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17,121</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8.33%</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Little Horton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1,585</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21,547</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7.36%</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 xml:space="preserve">Bowling and </w:t>
            </w:r>
            <w:proofErr w:type="spellStart"/>
            <w:r w:rsidRPr="007440C5">
              <w:rPr>
                <w:rFonts w:eastAsia="Times New Roman" w:cs="Times New Roman"/>
                <w:sz w:val="20"/>
                <w:szCs w:val="20"/>
                <w:lang w:eastAsia="en-GB"/>
              </w:rPr>
              <w:t>Barkerend</w:t>
            </w:r>
            <w:proofErr w:type="spellEnd"/>
            <w:r w:rsidRPr="007440C5">
              <w:rPr>
                <w:rFonts w:eastAsia="Times New Roman" w:cs="Times New Roman"/>
                <w:sz w:val="20"/>
                <w:szCs w:val="20"/>
                <w:lang w:eastAsia="en-GB"/>
              </w:rPr>
              <w:t xml:space="preserve">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1,462</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20,618</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7.09%</w:t>
            </w:r>
          </w:p>
        </w:tc>
      </w:tr>
      <w:tr w:rsidR="007440C5" w:rsidRPr="007440C5" w:rsidTr="00BB288F">
        <w:trPr>
          <w:trHeight w:val="255"/>
        </w:trPr>
        <w:tc>
          <w:tcPr>
            <w:tcW w:w="3891" w:type="dxa"/>
            <w:shd w:val="clear" w:color="auto" w:fill="auto"/>
            <w:noWrap/>
            <w:vAlign w:val="bottom"/>
            <w:hideMark/>
          </w:tcPr>
          <w:p w:rsidR="007440C5" w:rsidRPr="007440C5" w:rsidRDefault="007440C5" w:rsidP="007440C5">
            <w:pPr>
              <w:spacing w:before="120" w:after="0"/>
              <w:rPr>
                <w:rFonts w:eastAsia="Times New Roman" w:cs="Times New Roman"/>
                <w:sz w:val="20"/>
                <w:szCs w:val="20"/>
                <w:lang w:eastAsia="en-GB"/>
              </w:rPr>
            </w:pPr>
            <w:r w:rsidRPr="007440C5">
              <w:rPr>
                <w:rFonts w:eastAsia="Times New Roman" w:cs="Times New Roman"/>
                <w:sz w:val="20"/>
                <w:szCs w:val="20"/>
                <w:lang w:eastAsia="en-GB"/>
              </w:rPr>
              <w:t>Great Horton Ward</w:t>
            </w:r>
          </w:p>
        </w:tc>
        <w:tc>
          <w:tcPr>
            <w:tcW w:w="1418"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1,239</w:t>
            </w:r>
          </w:p>
        </w:tc>
        <w:tc>
          <w:tcPr>
            <w:tcW w:w="1417" w:type="dxa"/>
            <w:shd w:val="clear" w:color="auto" w:fill="auto"/>
            <w:noWrap/>
            <w:vAlign w:val="bottom"/>
            <w:hideMark/>
          </w:tcPr>
          <w:p w:rsidR="007440C5" w:rsidRPr="007440C5" w:rsidRDefault="007440C5" w:rsidP="007440C5">
            <w:pPr>
              <w:spacing w:before="120" w:after="0"/>
              <w:jc w:val="center"/>
              <w:rPr>
                <w:rFonts w:eastAsia="Times New Roman" w:cs="Times New Roman"/>
                <w:sz w:val="20"/>
                <w:szCs w:val="20"/>
                <w:lang w:eastAsia="en-GB"/>
              </w:rPr>
            </w:pPr>
            <w:r w:rsidRPr="007440C5">
              <w:rPr>
                <w:rFonts w:eastAsia="Times New Roman" w:cs="Times New Roman"/>
                <w:sz w:val="20"/>
                <w:szCs w:val="20"/>
                <w:lang w:eastAsia="en-GB"/>
              </w:rPr>
              <w:t>17,683</w:t>
            </w:r>
          </w:p>
        </w:tc>
        <w:tc>
          <w:tcPr>
            <w:tcW w:w="1276" w:type="dxa"/>
            <w:shd w:val="clear" w:color="auto" w:fill="auto"/>
            <w:noWrap/>
            <w:vAlign w:val="bottom"/>
            <w:hideMark/>
          </w:tcPr>
          <w:p w:rsidR="007440C5" w:rsidRPr="007440C5" w:rsidRDefault="007440C5" w:rsidP="007440C5">
            <w:pPr>
              <w:spacing w:before="120" w:after="0"/>
              <w:jc w:val="center"/>
              <w:rPr>
                <w:rFonts w:eastAsia="Times New Roman" w:cs="Times New Roman"/>
                <w:color w:val="000000"/>
                <w:sz w:val="20"/>
                <w:szCs w:val="20"/>
                <w:lang w:eastAsia="en-GB"/>
              </w:rPr>
            </w:pPr>
            <w:r w:rsidRPr="007440C5">
              <w:rPr>
                <w:rFonts w:eastAsia="Times New Roman" w:cs="Times New Roman"/>
                <w:color w:val="000000"/>
                <w:sz w:val="20"/>
                <w:szCs w:val="20"/>
                <w:lang w:eastAsia="en-GB"/>
              </w:rPr>
              <w:t>7.01%</w:t>
            </w:r>
          </w:p>
        </w:tc>
      </w:tr>
    </w:tbl>
    <w:p w:rsidR="007440C5" w:rsidRPr="007440C5" w:rsidRDefault="007440C5" w:rsidP="007440C5">
      <w:pPr>
        <w:spacing w:before="120" w:after="0"/>
        <w:ind w:firstLine="720"/>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w:t>
      </w:r>
      <w:r w:rsidRPr="007440C5">
        <w:rPr>
          <w:rFonts w:ascii="Calibri" w:eastAsia="Times New Roman" w:hAnsi="Calibri" w:cs="Times New Roman"/>
          <w:i/>
          <w:sz w:val="18"/>
          <w:szCs w:val="20"/>
          <w:lang w:eastAsia="en-GB"/>
        </w:rPr>
        <w:t>Source:  2011 Census L15 Full-time students (</w:t>
      </w:r>
      <w:r w:rsidR="0010667E">
        <w:rPr>
          <w:rFonts w:ascii="Calibri" w:eastAsia="Times New Roman" w:hAnsi="Calibri" w:cs="Times New Roman"/>
          <w:i/>
          <w:sz w:val="18"/>
          <w:szCs w:val="20"/>
          <w:lang w:eastAsia="en-GB"/>
        </w:rPr>
        <w:t>percentage</w:t>
      </w:r>
      <w:r w:rsidRPr="007440C5">
        <w:rPr>
          <w:rFonts w:ascii="Calibri" w:eastAsia="Times New Roman" w:hAnsi="Calibri" w:cs="Times New Roman"/>
          <w:i/>
          <w:sz w:val="18"/>
          <w:szCs w:val="20"/>
          <w:lang w:eastAsia="en-GB"/>
        </w:rPr>
        <w:t xml:space="preserve"> of all aged 16-74</w:t>
      </w:r>
      <w:r w:rsidRPr="007440C5">
        <w:rPr>
          <w:rFonts w:ascii="Calibri" w:eastAsia="Times New Roman" w:hAnsi="Calibri" w:cs="Times New Roman"/>
          <w:sz w:val="18"/>
          <w:szCs w:val="20"/>
          <w:lang w:eastAsia="en-GB"/>
        </w:rPr>
        <w:t>)</w:t>
      </w:r>
    </w:p>
    <w:p w:rsidR="007440C5" w:rsidRPr="007440C5" w:rsidRDefault="007440C5" w:rsidP="007440C5">
      <w:pPr>
        <w:spacing w:before="120" w:after="0"/>
        <w:ind w:left="720"/>
      </w:pPr>
      <w:r w:rsidRPr="007440C5">
        <w:t>Less than seven per cent of the population of all other wards were full-time students.  This indicates that student concentrations (or ‘</w:t>
      </w:r>
      <w:proofErr w:type="spellStart"/>
      <w:r w:rsidRPr="007440C5">
        <w:t>studentification</w:t>
      </w:r>
      <w:proofErr w:type="spellEnd"/>
      <w:r w:rsidRPr="007440C5">
        <w:t>’) are not a key issue in Bradford.  To provide some comparison, research in Nottingham showed that 17 of the 29 wards had a percentage of students higher than the average in Bradford.  Research in Leeds showed that students made up around 90 per cent of the pop</w:t>
      </w:r>
      <w:r w:rsidR="0010667E">
        <w:t>ulation in the area around the u</w:t>
      </w:r>
      <w:r w:rsidRPr="007440C5">
        <w:t xml:space="preserve">niversities and over 50 per cent of the population in the Hyde Park and Woodhouse areas. </w:t>
      </w:r>
      <w:r w:rsidRPr="007440C5">
        <w:rPr>
          <w:vanish/>
        </w:rPr>
        <w:t>eadingley and Woodhouse areas</w:t>
      </w:r>
      <w:r w:rsidRPr="007440C5">
        <w:t>A full breakdown is given in Annexe 1.</w:t>
      </w:r>
    </w:p>
    <w:p w:rsidR="007440C5" w:rsidRPr="007440C5" w:rsidRDefault="007440C5" w:rsidP="007440C5">
      <w:pPr>
        <w:spacing w:before="120" w:after="0"/>
        <w:ind w:left="720"/>
        <w:rPr>
          <w:color w:val="FF0000"/>
        </w:rPr>
      </w:pPr>
      <w:r w:rsidRPr="007440C5">
        <w:t>Demographic projections show a continuing upward trajectory in the numbers of young people in Bradford and surrounding areas, which may feed through into higher domestic demand for places in higher education.</w:t>
      </w:r>
    </w:p>
    <w:p w:rsidR="007440C5" w:rsidRPr="007440C5" w:rsidRDefault="007440C5" w:rsidP="007440C5">
      <w:pPr>
        <w:spacing w:before="120" w:after="0"/>
        <w:ind w:firstLine="720"/>
        <w:rPr>
          <w:u w:val="single"/>
        </w:rPr>
      </w:pPr>
      <w:r w:rsidRPr="007440C5">
        <w:rPr>
          <w:u w:val="single"/>
        </w:rPr>
        <w:t>Demographic characteristics</w:t>
      </w:r>
    </w:p>
    <w:p w:rsidR="007440C5" w:rsidRPr="007440C5" w:rsidRDefault="007440C5" w:rsidP="00EE5EB2">
      <w:pPr>
        <w:spacing w:before="120" w:after="0"/>
        <w:ind w:left="720"/>
        <w:rPr>
          <w:i/>
        </w:rPr>
      </w:pPr>
      <w:r w:rsidRPr="007440C5">
        <w:t xml:space="preserve">The areas surrounding the University of Bradford where students tend to live are characterised by a very substantial </w:t>
      </w:r>
      <w:r w:rsidR="0010667E">
        <w:t>black and minority ethnic (</w:t>
      </w:r>
      <w:r w:rsidRPr="007440C5">
        <w:t>BME</w:t>
      </w:r>
      <w:r w:rsidR="0010667E">
        <w:t>)</w:t>
      </w:r>
      <w:r w:rsidRPr="007440C5">
        <w:t xml:space="preserve"> population; a large proportion of younger households; a significantly lower proportion of people in managerial or professional occupations; higher than average level of unemployment; and people who are economically inactive.</w:t>
      </w:r>
      <w:r w:rsidRPr="007440C5">
        <w:rPr>
          <w:i/>
        </w:rPr>
        <w:br w:type="page"/>
      </w:r>
    </w:p>
    <w:p w:rsidR="007440C5" w:rsidRDefault="007440C5" w:rsidP="00EE5EB2">
      <w:pPr>
        <w:tabs>
          <w:tab w:val="left" w:pos="1701"/>
        </w:tabs>
        <w:spacing w:before="120" w:after="0"/>
        <w:ind w:left="720"/>
        <w:rPr>
          <w:i/>
        </w:rPr>
      </w:pPr>
      <w:r w:rsidRPr="007440C5">
        <w:rPr>
          <w:i/>
        </w:rPr>
        <w:lastRenderedPageBreak/>
        <w:t>Table 2:</w:t>
      </w:r>
      <w:r w:rsidR="0010667E">
        <w:rPr>
          <w:i/>
        </w:rPr>
        <w:tab/>
      </w:r>
      <w:r w:rsidRPr="007440C5">
        <w:rPr>
          <w:i/>
        </w:rPr>
        <w:t xml:space="preserve"> Demographic characteristics in wards with the highest proportions of student residence</w:t>
      </w:r>
    </w:p>
    <w:tbl>
      <w:tblPr>
        <w:tblpPr w:leftFromText="180" w:rightFromText="180" w:vertAnchor="text" w:horzAnchor="margin" w:tblpXSpec="center" w:tblpY="300"/>
        <w:tblW w:w="83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3636"/>
        <w:gridCol w:w="1717"/>
        <w:gridCol w:w="1701"/>
        <w:gridCol w:w="1276"/>
      </w:tblGrid>
      <w:tr w:rsidR="007440C5" w:rsidRPr="007440C5" w:rsidTr="00BB288F">
        <w:trPr>
          <w:trHeight w:val="367"/>
        </w:trPr>
        <w:tc>
          <w:tcPr>
            <w:tcW w:w="3636" w:type="dxa"/>
            <w:shd w:val="clear" w:color="auto" w:fill="FFFFFF" w:themeFill="background1"/>
            <w:hideMark/>
          </w:tcPr>
          <w:p w:rsidR="007440C5" w:rsidRPr="007440C5" w:rsidRDefault="007440C5" w:rsidP="00EE5EB2">
            <w:pPr>
              <w:spacing w:before="120" w:after="100" w:afterAutospacing="1"/>
              <w:jc w:val="center"/>
              <w:rPr>
                <w:b/>
                <w:bCs/>
                <w:color w:val="000000"/>
                <w:sz w:val="20"/>
                <w:szCs w:val="20"/>
              </w:rPr>
            </w:pPr>
            <w:r w:rsidRPr="007440C5">
              <w:rPr>
                <w:b/>
                <w:bCs/>
                <w:color w:val="000000"/>
                <w:sz w:val="20"/>
                <w:szCs w:val="20"/>
              </w:rPr>
              <w:t>2011 Census indicator</w:t>
            </w:r>
          </w:p>
        </w:tc>
        <w:tc>
          <w:tcPr>
            <w:tcW w:w="1717" w:type="dxa"/>
            <w:shd w:val="clear" w:color="auto" w:fill="FFFFFF" w:themeFill="background1"/>
            <w:hideMark/>
          </w:tcPr>
          <w:p w:rsidR="007440C5" w:rsidRPr="007440C5" w:rsidRDefault="007440C5" w:rsidP="007440C5">
            <w:pPr>
              <w:spacing w:before="120" w:after="0"/>
              <w:jc w:val="center"/>
              <w:rPr>
                <w:b/>
                <w:bCs/>
                <w:color w:val="000000"/>
                <w:sz w:val="20"/>
                <w:szCs w:val="20"/>
              </w:rPr>
            </w:pPr>
            <w:r w:rsidRPr="007440C5">
              <w:rPr>
                <w:b/>
                <w:bCs/>
                <w:color w:val="000000"/>
                <w:sz w:val="20"/>
                <w:szCs w:val="20"/>
              </w:rPr>
              <w:t>Wards with most students - under 2 miles from campus</w:t>
            </w:r>
          </w:p>
        </w:tc>
        <w:tc>
          <w:tcPr>
            <w:tcW w:w="1701" w:type="dxa"/>
            <w:shd w:val="clear" w:color="auto" w:fill="FFFFFF" w:themeFill="background1"/>
          </w:tcPr>
          <w:p w:rsidR="007440C5" w:rsidRPr="007440C5" w:rsidRDefault="007440C5" w:rsidP="007440C5">
            <w:pPr>
              <w:spacing w:before="120" w:after="0"/>
              <w:jc w:val="center"/>
              <w:rPr>
                <w:b/>
                <w:bCs/>
                <w:i/>
                <w:iCs/>
                <w:color w:val="000000"/>
                <w:sz w:val="20"/>
                <w:szCs w:val="20"/>
              </w:rPr>
            </w:pPr>
            <w:r w:rsidRPr="007440C5">
              <w:rPr>
                <w:b/>
                <w:bCs/>
                <w:color w:val="000000"/>
                <w:sz w:val="20"/>
                <w:szCs w:val="20"/>
              </w:rPr>
              <w:t>Wards with most students -  2 to 3 miles from campus</w:t>
            </w:r>
          </w:p>
        </w:tc>
        <w:tc>
          <w:tcPr>
            <w:tcW w:w="1276" w:type="dxa"/>
            <w:shd w:val="clear" w:color="auto" w:fill="FFFFFF" w:themeFill="background1"/>
            <w:hideMark/>
          </w:tcPr>
          <w:p w:rsidR="007440C5" w:rsidRPr="007440C5" w:rsidRDefault="007440C5" w:rsidP="007440C5">
            <w:pPr>
              <w:spacing w:before="120" w:after="0"/>
              <w:jc w:val="center"/>
              <w:rPr>
                <w:b/>
                <w:bCs/>
                <w:i/>
                <w:iCs/>
                <w:color w:val="000000"/>
                <w:sz w:val="20"/>
                <w:szCs w:val="20"/>
              </w:rPr>
            </w:pPr>
            <w:r w:rsidRPr="007440C5">
              <w:rPr>
                <w:b/>
                <w:bCs/>
                <w:i/>
                <w:iCs/>
                <w:color w:val="000000"/>
                <w:sz w:val="20"/>
                <w:szCs w:val="20"/>
              </w:rPr>
              <w:t>Bradford average</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b/>
                <w:bCs/>
                <w:color w:val="000000"/>
                <w:sz w:val="20"/>
                <w:szCs w:val="20"/>
              </w:rPr>
            </w:pPr>
            <w:r w:rsidRPr="007440C5">
              <w:rPr>
                <w:b/>
                <w:bCs/>
                <w:color w:val="000000"/>
                <w:sz w:val="20"/>
                <w:szCs w:val="20"/>
              </w:rPr>
              <w:t>Age</w:t>
            </w:r>
          </w:p>
        </w:tc>
        <w:tc>
          <w:tcPr>
            <w:tcW w:w="1717" w:type="dxa"/>
            <w:shd w:val="clear" w:color="auto" w:fill="FFFFFF" w:themeFill="background1"/>
            <w:noWrap/>
            <w:vAlign w:val="center"/>
            <w:hideMark/>
          </w:tcPr>
          <w:p w:rsidR="007440C5" w:rsidRPr="007440C5" w:rsidRDefault="007440C5" w:rsidP="007440C5">
            <w:pPr>
              <w:spacing w:after="0" w:line="288" w:lineRule="auto"/>
              <w:jc w:val="center"/>
              <w:rPr>
                <w:color w:val="000000"/>
                <w:sz w:val="20"/>
                <w:szCs w:val="20"/>
              </w:rPr>
            </w:pPr>
          </w:p>
        </w:tc>
        <w:tc>
          <w:tcPr>
            <w:tcW w:w="1701" w:type="dxa"/>
            <w:shd w:val="clear" w:color="auto" w:fill="FFFFFF" w:themeFill="background1"/>
            <w:vAlign w:val="center"/>
          </w:tcPr>
          <w:p w:rsidR="007440C5" w:rsidRPr="007440C5" w:rsidRDefault="007440C5" w:rsidP="007440C5">
            <w:pPr>
              <w:spacing w:after="0" w:line="288" w:lineRule="auto"/>
              <w:jc w:val="center"/>
              <w:rPr>
                <w:rFonts w:ascii="Calibri" w:hAnsi="Calibri"/>
                <w:b/>
                <w:bCs/>
                <w:i/>
                <w:iCs/>
                <w:color w:val="000000"/>
                <w:sz w:val="20"/>
                <w:szCs w:val="20"/>
              </w:rPr>
            </w:pP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Under 16</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27.9%</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30.5%</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23.4%</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 aged 16 - 25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17.2%</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13.9%</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12.1%</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 aged 25 - 44</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31.7%</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31.0%</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28.2%</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 aged 45 - 65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17.7%</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16.1%</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22.9%</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 aged 65 - 85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6.6%</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7.2%</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11.5%</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Over 85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1.0%</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1.3%</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1.8%</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Average age</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28</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28</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34</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b/>
                <w:bCs/>
                <w:color w:val="000000"/>
                <w:sz w:val="20"/>
                <w:szCs w:val="20"/>
              </w:rPr>
            </w:pPr>
            <w:r w:rsidRPr="007440C5">
              <w:rPr>
                <w:b/>
                <w:bCs/>
                <w:color w:val="000000"/>
                <w:sz w:val="20"/>
                <w:szCs w:val="20"/>
              </w:rPr>
              <w:t>Household type</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Families with children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41.3%</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43.7%</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33.9%</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Lone parents</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10.9%</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12.6%</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11.1%</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Couples under 65 without children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14.5%</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13.4%</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18.6%</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Single people under 65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22.7%</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14.2%</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18.5%</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Couples over 65 without children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3.0%</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3.0%</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6.5%</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10667E" w:rsidP="007440C5">
            <w:pPr>
              <w:spacing w:after="0" w:line="288" w:lineRule="auto"/>
              <w:rPr>
                <w:color w:val="000000"/>
                <w:sz w:val="20"/>
                <w:szCs w:val="20"/>
              </w:rPr>
            </w:pPr>
            <w:r>
              <w:rPr>
                <w:color w:val="000000"/>
                <w:sz w:val="20"/>
                <w:szCs w:val="20"/>
              </w:rPr>
              <w:t>Single p</w:t>
            </w:r>
            <w:r w:rsidR="007440C5" w:rsidRPr="007440C5">
              <w:rPr>
                <w:color w:val="000000"/>
                <w:sz w:val="20"/>
                <w:szCs w:val="20"/>
              </w:rPr>
              <w:t>eople over 65</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7.7%</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13.1%</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11.4%</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b/>
                <w:bCs/>
                <w:color w:val="000000"/>
                <w:sz w:val="20"/>
                <w:szCs w:val="20"/>
              </w:rPr>
            </w:pPr>
            <w:r w:rsidRPr="007440C5">
              <w:rPr>
                <w:b/>
                <w:bCs/>
                <w:color w:val="000000"/>
                <w:sz w:val="20"/>
                <w:szCs w:val="20"/>
              </w:rPr>
              <w:t>Ethnicity</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White British</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21.6%</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23.2%</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63.9%</w:t>
            </w:r>
          </w:p>
        </w:tc>
      </w:tr>
      <w:tr w:rsidR="007440C5" w:rsidRPr="007440C5" w:rsidTr="00BB288F">
        <w:trPr>
          <w:trHeight w:val="315"/>
        </w:trPr>
        <w:tc>
          <w:tcPr>
            <w:tcW w:w="3636" w:type="dxa"/>
            <w:shd w:val="clear" w:color="auto" w:fill="FFFFFF" w:themeFill="background1"/>
            <w:noWrap/>
            <w:vAlign w:val="center"/>
            <w:hideMark/>
          </w:tcPr>
          <w:p w:rsidR="007440C5" w:rsidRPr="007440C5" w:rsidRDefault="007440C5" w:rsidP="007440C5">
            <w:pPr>
              <w:spacing w:after="0" w:line="288" w:lineRule="auto"/>
              <w:rPr>
                <w:color w:val="000000"/>
                <w:sz w:val="20"/>
                <w:szCs w:val="20"/>
              </w:rPr>
            </w:pPr>
            <w:r w:rsidRPr="007440C5">
              <w:rPr>
                <w:color w:val="000000"/>
                <w:sz w:val="20"/>
                <w:szCs w:val="20"/>
              </w:rPr>
              <w:t>Irish</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0.5%</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0.5%</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0.6%</w:t>
            </w:r>
          </w:p>
        </w:tc>
      </w:tr>
      <w:tr w:rsidR="007440C5" w:rsidRPr="007440C5" w:rsidTr="00BB288F">
        <w:trPr>
          <w:trHeight w:val="315"/>
        </w:trPr>
        <w:tc>
          <w:tcPr>
            <w:tcW w:w="3636" w:type="dxa"/>
            <w:shd w:val="clear" w:color="auto" w:fill="FFFFFF" w:themeFill="background1"/>
            <w:noWrap/>
            <w:vAlign w:val="center"/>
          </w:tcPr>
          <w:p w:rsidR="007440C5" w:rsidRPr="007440C5" w:rsidRDefault="007440C5" w:rsidP="007440C5">
            <w:pPr>
              <w:spacing w:after="0" w:line="288" w:lineRule="auto"/>
              <w:rPr>
                <w:color w:val="000000"/>
                <w:sz w:val="20"/>
                <w:szCs w:val="20"/>
              </w:rPr>
            </w:pPr>
            <w:r w:rsidRPr="007440C5">
              <w:rPr>
                <w:color w:val="000000"/>
                <w:sz w:val="20"/>
                <w:szCs w:val="20"/>
              </w:rPr>
              <w:t>European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7.3%</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5.1%</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3.7%</w:t>
            </w:r>
          </w:p>
        </w:tc>
      </w:tr>
      <w:tr w:rsidR="007440C5" w:rsidRPr="007440C5" w:rsidTr="00BB288F">
        <w:trPr>
          <w:trHeight w:val="315"/>
        </w:trPr>
        <w:tc>
          <w:tcPr>
            <w:tcW w:w="3636" w:type="dxa"/>
            <w:shd w:val="clear" w:color="auto" w:fill="FFFFFF" w:themeFill="background1"/>
            <w:noWrap/>
            <w:vAlign w:val="center"/>
          </w:tcPr>
          <w:p w:rsidR="007440C5" w:rsidRPr="007440C5" w:rsidRDefault="0010667E" w:rsidP="007440C5">
            <w:pPr>
              <w:spacing w:after="0" w:line="288" w:lineRule="auto"/>
              <w:rPr>
                <w:b/>
                <w:i/>
                <w:color w:val="000000"/>
                <w:sz w:val="20"/>
                <w:szCs w:val="20"/>
              </w:rPr>
            </w:pPr>
            <w:r>
              <w:rPr>
                <w:b/>
                <w:i/>
                <w:color w:val="000000"/>
                <w:sz w:val="20"/>
                <w:szCs w:val="20"/>
              </w:rPr>
              <w:t>Black and minority e</w:t>
            </w:r>
            <w:r w:rsidR="007440C5" w:rsidRPr="007440C5">
              <w:rPr>
                <w:b/>
                <w:i/>
                <w:color w:val="000000"/>
                <w:sz w:val="20"/>
                <w:szCs w:val="20"/>
              </w:rPr>
              <w:t>thnic (of which)</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70.7%</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71.4%</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29.3%</w:t>
            </w:r>
          </w:p>
        </w:tc>
      </w:tr>
      <w:tr w:rsidR="007440C5" w:rsidRPr="007440C5" w:rsidTr="00BB288F">
        <w:trPr>
          <w:trHeight w:val="315"/>
        </w:trPr>
        <w:tc>
          <w:tcPr>
            <w:tcW w:w="3636" w:type="dxa"/>
            <w:shd w:val="clear" w:color="auto" w:fill="FFFFFF" w:themeFill="background1"/>
            <w:noWrap/>
            <w:vAlign w:val="center"/>
          </w:tcPr>
          <w:p w:rsidR="007440C5" w:rsidRPr="007440C5" w:rsidRDefault="007440C5" w:rsidP="007440C5">
            <w:pPr>
              <w:spacing w:after="0" w:line="288" w:lineRule="auto"/>
              <w:rPr>
                <w:i/>
                <w:color w:val="000000"/>
                <w:sz w:val="18"/>
                <w:szCs w:val="18"/>
              </w:rPr>
            </w:pPr>
            <w:r w:rsidRPr="007440C5">
              <w:rPr>
                <w:i/>
                <w:color w:val="000000"/>
                <w:sz w:val="18"/>
                <w:szCs w:val="18"/>
              </w:rPr>
              <w:t>African Caribbean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4.0%</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2.2%</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1.8%</w:t>
            </w:r>
          </w:p>
        </w:tc>
      </w:tr>
      <w:tr w:rsidR="007440C5" w:rsidRPr="007440C5" w:rsidTr="00BB288F">
        <w:trPr>
          <w:trHeight w:val="315"/>
        </w:trPr>
        <w:tc>
          <w:tcPr>
            <w:tcW w:w="3636" w:type="dxa"/>
            <w:shd w:val="clear" w:color="auto" w:fill="FFFFFF" w:themeFill="background1"/>
            <w:noWrap/>
            <w:vAlign w:val="center"/>
          </w:tcPr>
          <w:p w:rsidR="007440C5" w:rsidRPr="007440C5" w:rsidRDefault="007440C5" w:rsidP="007440C5">
            <w:pPr>
              <w:spacing w:after="0" w:line="288" w:lineRule="auto"/>
              <w:rPr>
                <w:i/>
                <w:color w:val="000000"/>
                <w:sz w:val="18"/>
                <w:szCs w:val="18"/>
              </w:rPr>
            </w:pPr>
            <w:r w:rsidRPr="007440C5">
              <w:rPr>
                <w:i/>
                <w:color w:val="000000"/>
                <w:sz w:val="18"/>
                <w:szCs w:val="18"/>
              </w:rPr>
              <w:t>Indian, Pakistani, Bangladeshi, Arab</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59.3%</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63.0%</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25.6%</w:t>
            </w:r>
          </w:p>
        </w:tc>
      </w:tr>
      <w:tr w:rsidR="007440C5" w:rsidRPr="007440C5" w:rsidTr="00BB288F">
        <w:trPr>
          <w:trHeight w:val="315"/>
        </w:trPr>
        <w:tc>
          <w:tcPr>
            <w:tcW w:w="3636" w:type="dxa"/>
            <w:shd w:val="clear" w:color="auto" w:fill="FFFFFF" w:themeFill="background1"/>
            <w:noWrap/>
            <w:vAlign w:val="center"/>
          </w:tcPr>
          <w:p w:rsidR="007440C5" w:rsidRPr="007440C5" w:rsidRDefault="007440C5" w:rsidP="007440C5">
            <w:pPr>
              <w:spacing w:after="0" w:line="288" w:lineRule="auto"/>
              <w:rPr>
                <w:i/>
                <w:color w:val="000000"/>
                <w:sz w:val="18"/>
                <w:szCs w:val="18"/>
              </w:rPr>
            </w:pPr>
            <w:r w:rsidRPr="007440C5">
              <w:rPr>
                <w:i/>
                <w:color w:val="000000"/>
                <w:sz w:val="18"/>
                <w:szCs w:val="18"/>
              </w:rPr>
              <w:t>Chinese, other Asian</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4.1%</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3.3%</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1.9%</w:t>
            </w:r>
          </w:p>
        </w:tc>
      </w:tr>
      <w:tr w:rsidR="007440C5" w:rsidRPr="007440C5" w:rsidTr="00BB288F">
        <w:trPr>
          <w:trHeight w:val="315"/>
        </w:trPr>
        <w:tc>
          <w:tcPr>
            <w:tcW w:w="3636" w:type="dxa"/>
            <w:shd w:val="clear" w:color="auto" w:fill="FFFFFF" w:themeFill="background1"/>
            <w:noWrap/>
            <w:vAlign w:val="center"/>
          </w:tcPr>
          <w:p w:rsidR="007440C5" w:rsidRPr="007440C5" w:rsidRDefault="007440C5" w:rsidP="007440C5">
            <w:pPr>
              <w:spacing w:after="0" w:line="288" w:lineRule="auto"/>
              <w:rPr>
                <w:color w:val="000000"/>
                <w:sz w:val="20"/>
                <w:szCs w:val="20"/>
              </w:rPr>
            </w:pPr>
            <w:r w:rsidRPr="007440C5">
              <w:rPr>
                <w:color w:val="000000"/>
                <w:sz w:val="20"/>
                <w:szCs w:val="20"/>
              </w:rPr>
              <w:t>Mixed ethnicity</w:t>
            </w:r>
          </w:p>
        </w:tc>
        <w:tc>
          <w:tcPr>
            <w:tcW w:w="1717" w:type="dxa"/>
            <w:shd w:val="clear" w:color="auto" w:fill="FFFFFF" w:themeFill="background1"/>
            <w:noWrap/>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3.3%</w:t>
            </w:r>
          </w:p>
        </w:tc>
        <w:tc>
          <w:tcPr>
            <w:tcW w:w="1701" w:type="dxa"/>
            <w:shd w:val="clear" w:color="auto" w:fill="FFFFFF" w:themeFill="background1"/>
            <w:vAlign w:val="bottom"/>
          </w:tcPr>
          <w:p w:rsidR="007440C5" w:rsidRPr="007440C5" w:rsidRDefault="007440C5" w:rsidP="007440C5">
            <w:pPr>
              <w:spacing w:after="0" w:line="288" w:lineRule="auto"/>
              <w:jc w:val="center"/>
              <w:rPr>
                <w:rFonts w:ascii="Calibri" w:hAnsi="Calibri"/>
                <w:bCs/>
                <w:iCs/>
                <w:color w:val="000000"/>
                <w:sz w:val="20"/>
                <w:szCs w:val="20"/>
              </w:rPr>
            </w:pPr>
            <w:r w:rsidRPr="007440C5">
              <w:rPr>
                <w:rFonts w:ascii="Calibri" w:hAnsi="Calibri"/>
                <w:bCs/>
                <w:iCs/>
                <w:color w:val="000000"/>
                <w:sz w:val="20"/>
                <w:szCs w:val="20"/>
              </w:rPr>
              <w:t>2.9%</w:t>
            </w:r>
          </w:p>
        </w:tc>
        <w:tc>
          <w:tcPr>
            <w:tcW w:w="1276" w:type="dxa"/>
            <w:shd w:val="clear" w:color="auto" w:fill="FFFFFF" w:themeFill="background1"/>
            <w:noWrap/>
            <w:vAlign w:val="center"/>
          </w:tcPr>
          <w:p w:rsidR="007440C5" w:rsidRPr="007440C5" w:rsidRDefault="007440C5" w:rsidP="007440C5">
            <w:pPr>
              <w:spacing w:after="0" w:line="288" w:lineRule="auto"/>
              <w:jc w:val="center"/>
              <w:rPr>
                <w:rFonts w:ascii="Calibri" w:hAnsi="Calibri"/>
                <w:b/>
                <w:bCs/>
                <w:i/>
                <w:iCs/>
                <w:color w:val="000000"/>
                <w:sz w:val="20"/>
                <w:szCs w:val="20"/>
              </w:rPr>
            </w:pPr>
            <w:r w:rsidRPr="007440C5">
              <w:rPr>
                <w:rFonts w:ascii="Calibri" w:hAnsi="Calibri"/>
                <w:b/>
                <w:bCs/>
                <w:i/>
                <w:iCs/>
                <w:color w:val="000000"/>
                <w:sz w:val="20"/>
                <w:szCs w:val="20"/>
              </w:rPr>
              <w:t>2.5%</w:t>
            </w:r>
          </w:p>
        </w:tc>
      </w:tr>
    </w:tbl>
    <w:p w:rsidR="007440C5" w:rsidRPr="007440C5" w:rsidRDefault="007440C5" w:rsidP="007440C5">
      <w:pPr>
        <w:spacing w:before="120" w:after="0"/>
        <w:ind w:firstLine="72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rPr>
          <w:b/>
        </w:rPr>
      </w:pPr>
    </w:p>
    <w:p w:rsidR="007440C5" w:rsidRPr="007440C5" w:rsidRDefault="007440C5" w:rsidP="007440C5">
      <w:pPr>
        <w:spacing w:before="120" w:after="0"/>
        <w:ind w:firstLine="720"/>
        <w:rPr>
          <w:sz w:val="18"/>
        </w:rPr>
      </w:pPr>
      <w:r w:rsidRPr="007440C5">
        <w:rPr>
          <w:sz w:val="18"/>
        </w:rPr>
        <w:t>(</w:t>
      </w:r>
      <w:r w:rsidRPr="007440C5">
        <w:rPr>
          <w:i/>
          <w:sz w:val="18"/>
        </w:rPr>
        <w:t>Source:  2011 Census in ONS Neighbourhood Statistics 2014</w:t>
      </w:r>
      <w:r w:rsidRPr="007440C5">
        <w:rPr>
          <w:sz w:val="18"/>
        </w:rPr>
        <w:t>)</w:t>
      </w:r>
    </w:p>
    <w:p w:rsidR="007440C5" w:rsidRPr="007440C5" w:rsidRDefault="007440C5" w:rsidP="007440C5">
      <w:pPr>
        <w:spacing w:before="120" w:after="0"/>
        <w:ind w:left="720"/>
      </w:pPr>
      <w:r w:rsidRPr="007440C5">
        <w:t>Table 2 shows that those wards closest to the University of Bradford and Bradford College have demographic characteristics at significant variance from the average for Bradford. The proportion of people from a black or ethnic minority in the areas closest to the University</w:t>
      </w:r>
      <w:r w:rsidR="00F74F45">
        <w:t xml:space="preserve"> </w:t>
      </w:r>
      <w:r w:rsidRPr="007440C5">
        <w:t xml:space="preserve">is more than double that for Bradford as a whole. A higher than average proportion in the areas closest to the University are aged </w:t>
      </w:r>
      <w:proofErr w:type="gramStart"/>
      <w:r w:rsidRPr="007440C5">
        <w:t>under</w:t>
      </w:r>
      <w:proofErr w:type="gramEnd"/>
      <w:r w:rsidRPr="007440C5">
        <w:t xml:space="preserve"> 25, compared to 35</w:t>
      </w:r>
      <w:r w:rsidR="00BB288F">
        <w:t xml:space="preserve"> per cent</w:t>
      </w:r>
      <w:r w:rsidRPr="007440C5">
        <w:t xml:space="preserve"> across Bradford. There are significantly fewer people aged over 65 in the areas closest to the University, when compared to Bradford as a whole.</w:t>
      </w:r>
    </w:p>
    <w:p w:rsidR="007440C5" w:rsidRPr="007440C5" w:rsidRDefault="007440C5" w:rsidP="007440C5">
      <w:pPr>
        <w:spacing w:before="120" w:after="0"/>
        <w:ind w:left="720"/>
        <w:rPr>
          <w:i/>
        </w:rPr>
      </w:pPr>
    </w:p>
    <w:p w:rsidR="007440C5" w:rsidRPr="007440C5" w:rsidRDefault="007440C5" w:rsidP="007440C5">
      <w:pPr>
        <w:rPr>
          <w:i/>
        </w:rPr>
      </w:pPr>
      <w:r w:rsidRPr="007440C5">
        <w:rPr>
          <w:i/>
        </w:rPr>
        <w:br w:type="page"/>
      </w:r>
    </w:p>
    <w:p w:rsidR="00F74F45" w:rsidRPr="007440C5" w:rsidRDefault="007440C5" w:rsidP="00EE5EB2">
      <w:pPr>
        <w:tabs>
          <w:tab w:val="left" w:pos="1701"/>
        </w:tabs>
        <w:spacing w:before="120" w:after="100" w:afterAutospacing="1"/>
        <w:ind w:left="720"/>
        <w:rPr>
          <w:i/>
        </w:rPr>
      </w:pPr>
      <w:r w:rsidRPr="007440C5">
        <w:rPr>
          <w:i/>
        </w:rPr>
        <w:lastRenderedPageBreak/>
        <w:t>Table 3:</w:t>
      </w:r>
      <w:r w:rsidR="00F74F45">
        <w:rPr>
          <w:i/>
        </w:rPr>
        <w:tab/>
      </w:r>
      <w:r w:rsidRPr="007440C5">
        <w:rPr>
          <w:i/>
        </w:rPr>
        <w:t>Economic characteristics in wards with the highest proportions of student residence</w:t>
      </w:r>
    </w:p>
    <w:tbl>
      <w:tblPr>
        <w:tblW w:w="8930"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536"/>
        <w:gridCol w:w="1497"/>
        <w:gridCol w:w="1480"/>
        <w:gridCol w:w="1417"/>
      </w:tblGrid>
      <w:tr w:rsidR="007440C5" w:rsidRPr="007440C5" w:rsidTr="00BB288F">
        <w:trPr>
          <w:trHeight w:val="1223"/>
        </w:trPr>
        <w:tc>
          <w:tcPr>
            <w:tcW w:w="4536" w:type="dxa"/>
            <w:shd w:val="clear" w:color="auto" w:fill="auto"/>
            <w:hideMark/>
          </w:tcPr>
          <w:p w:rsidR="007440C5" w:rsidRPr="007440C5" w:rsidRDefault="007440C5" w:rsidP="007440C5">
            <w:pPr>
              <w:spacing w:after="0" w:line="288" w:lineRule="auto"/>
              <w:rPr>
                <w:b/>
                <w:bCs/>
                <w:color w:val="000000"/>
                <w:sz w:val="20"/>
              </w:rPr>
            </w:pPr>
            <w:r w:rsidRPr="007440C5">
              <w:rPr>
                <w:b/>
                <w:bCs/>
                <w:color w:val="000000"/>
                <w:sz w:val="20"/>
              </w:rPr>
              <w:t>2011 Census indicator</w:t>
            </w:r>
          </w:p>
        </w:tc>
        <w:tc>
          <w:tcPr>
            <w:tcW w:w="1497" w:type="dxa"/>
          </w:tcPr>
          <w:p w:rsidR="007440C5" w:rsidRPr="007440C5" w:rsidRDefault="007440C5" w:rsidP="007440C5">
            <w:pPr>
              <w:spacing w:after="0" w:line="288" w:lineRule="auto"/>
              <w:jc w:val="center"/>
              <w:rPr>
                <w:b/>
                <w:bCs/>
                <w:color w:val="000000"/>
                <w:sz w:val="20"/>
              </w:rPr>
            </w:pPr>
            <w:r w:rsidRPr="007440C5">
              <w:rPr>
                <w:b/>
                <w:bCs/>
                <w:color w:val="000000"/>
                <w:sz w:val="20"/>
              </w:rPr>
              <w:t>Wards with most students – under 2 miles from campus</w:t>
            </w:r>
          </w:p>
        </w:tc>
        <w:tc>
          <w:tcPr>
            <w:tcW w:w="1480" w:type="dxa"/>
            <w:shd w:val="clear" w:color="auto" w:fill="auto"/>
            <w:hideMark/>
          </w:tcPr>
          <w:p w:rsidR="007440C5" w:rsidRPr="007440C5" w:rsidRDefault="007440C5" w:rsidP="007440C5">
            <w:pPr>
              <w:spacing w:after="0" w:line="288" w:lineRule="auto"/>
              <w:jc w:val="center"/>
              <w:rPr>
                <w:b/>
                <w:bCs/>
                <w:color w:val="000000"/>
                <w:sz w:val="20"/>
              </w:rPr>
            </w:pPr>
            <w:r w:rsidRPr="007440C5">
              <w:rPr>
                <w:b/>
                <w:bCs/>
                <w:color w:val="000000"/>
                <w:sz w:val="20"/>
              </w:rPr>
              <w:t>Wards with most students – 2 to 3 miles from campus</w:t>
            </w:r>
          </w:p>
        </w:tc>
        <w:tc>
          <w:tcPr>
            <w:tcW w:w="1417" w:type="dxa"/>
            <w:shd w:val="clear" w:color="auto" w:fill="auto"/>
            <w:hideMark/>
          </w:tcPr>
          <w:p w:rsidR="007440C5" w:rsidRPr="007440C5" w:rsidRDefault="007440C5" w:rsidP="007440C5">
            <w:pPr>
              <w:spacing w:after="0" w:line="288" w:lineRule="auto"/>
              <w:jc w:val="center"/>
              <w:rPr>
                <w:b/>
                <w:bCs/>
                <w:iCs/>
                <w:color w:val="000000"/>
                <w:sz w:val="20"/>
              </w:rPr>
            </w:pPr>
            <w:r w:rsidRPr="007440C5">
              <w:rPr>
                <w:b/>
                <w:bCs/>
                <w:iCs/>
                <w:color w:val="000000"/>
                <w:sz w:val="20"/>
              </w:rPr>
              <w:t>Bradford average</w:t>
            </w:r>
          </w:p>
        </w:tc>
      </w:tr>
      <w:tr w:rsidR="007440C5" w:rsidRPr="007440C5" w:rsidTr="00BB288F">
        <w:trPr>
          <w:trHeight w:val="181"/>
        </w:trPr>
        <w:tc>
          <w:tcPr>
            <w:tcW w:w="4536" w:type="dxa"/>
            <w:shd w:val="clear" w:color="auto" w:fill="auto"/>
            <w:noWrap/>
            <w:vAlign w:val="center"/>
            <w:hideMark/>
          </w:tcPr>
          <w:p w:rsidR="007440C5" w:rsidRPr="007440C5" w:rsidRDefault="007440C5" w:rsidP="007440C5">
            <w:pPr>
              <w:spacing w:after="0" w:line="240" w:lineRule="auto"/>
              <w:rPr>
                <w:b/>
                <w:bCs/>
                <w:color w:val="000000"/>
                <w:sz w:val="20"/>
              </w:rPr>
            </w:pPr>
            <w:r w:rsidRPr="007440C5">
              <w:rPr>
                <w:b/>
                <w:bCs/>
                <w:color w:val="000000"/>
                <w:sz w:val="20"/>
              </w:rPr>
              <w:t>Employment</w:t>
            </w:r>
          </w:p>
        </w:tc>
        <w:tc>
          <w:tcPr>
            <w:tcW w:w="1497" w:type="dxa"/>
            <w:vAlign w:val="center"/>
          </w:tcPr>
          <w:p w:rsidR="007440C5" w:rsidRPr="007440C5" w:rsidRDefault="007440C5" w:rsidP="007440C5">
            <w:pPr>
              <w:spacing w:after="0" w:line="240" w:lineRule="auto"/>
              <w:jc w:val="center"/>
              <w:rPr>
                <w:color w:val="000000"/>
                <w:sz w:val="20"/>
              </w:rPr>
            </w:pPr>
          </w:p>
        </w:tc>
        <w:tc>
          <w:tcPr>
            <w:tcW w:w="1480" w:type="dxa"/>
            <w:shd w:val="clear" w:color="auto" w:fill="auto"/>
            <w:noWrap/>
            <w:vAlign w:val="center"/>
            <w:hideMark/>
          </w:tcPr>
          <w:p w:rsidR="007440C5" w:rsidRPr="007440C5" w:rsidRDefault="007440C5" w:rsidP="007440C5">
            <w:pPr>
              <w:spacing w:after="0" w:line="240" w:lineRule="auto"/>
              <w:jc w:val="center"/>
              <w:rPr>
                <w:color w:val="000000"/>
                <w:sz w:val="20"/>
              </w:rPr>
            </w:pPr>
          </w:p>
        </w:tc>
        <w:tc>
          <w:tcPr>
            <w:tcW w:w="1417" w:type="dxa"/>
            <w:shd w:val="clear" w:color="auto" w:fill="auto"/>
            <w:noWrap/>
            <w:vAlign w:val="center"/>
            <w:hideMark/>
          </w:tcPr>
          <w:p w:rsidR="007440C5" w:rsidRPr="007440C5" w:rsidRDefault="007440C5" w:rsidP="007440C5">
            <w:pPr>
              <w:spacing w:after="0" w:line="240" w:lineRule="auto"/>
              <w:jc w:val="center"/>
              <w:rPr>
                <w:color w:val="000000"/>
                <w:sz w:val="20"/>
              </w:rPr>
            </w:pPr>
          </w:p>
        </w:tc>
      </w:tr>
      <w:tr w:rsidR="007440C5" w:rsidRPr="007440C5" w:rsidTr="00BB288F">
        <w:trPr>
          <w:trHeight w:val="198"/>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Full-time employed</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22.9%</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22.3%</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34.3%</w:t>
            </w:r>
          </w:p>
        </w:tc>
      </w:tr>
      <w:tr w:rsidR="007440C5" w:rsidRPr="007440C5" w:rsidTr="00BB288F">
        <w:trPr>
          <w:trHeight w:val="189"/>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Part-time employed</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13.0%</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14.1%</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14.4%</w:t>
            </w:r>
          </w:p>
        </w:tc>
      </w:tr>
      <w:tr w:rsidR="007440C5" w:rsidRPr="007440C5" w:rsidTr="00BB288F">
        <w:trPr>
          <w:trHeight w:val="206"/>
        </w:trPr>
        <w:tc>
          <w:tcPr>
            <w:tcW w:w="4536" w:type="dxa"/>
            <w:shd w:val="clear" w:color="auto" w:fill="auto"/>
            <w:noWrap/>
            <w:vAlign w:val="center"/>
          </w:tcPr>
          <w:p w:rsidR="007440C5" w:rsidRPr="007440C5" w:rsidRDefault="007440C5" w:rsidP="007440C5">
            <w:pPr>
              <w:spacing w:after="0" w:line="240" w:lineRule="auto"/>
              <w:rPr>
                <w:color w:val="000000"/>
                <w:sz w:val="20"/>
              </w:rPr>
            </w:pPr>
            <w:r w:rsidRPr="007440C5">
              <w:rPr>
                <w:color w:val="000000"/>
                <w:sz w:val="20"/>
              </w:rPr>
              <w:t>Self-employed</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7.3%</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8.3%</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8.6%</w:t>
            </w:r>
          </w:p>
        </w:tc>
      </w:tr>
      <w:tr w:rsidR="007440C5" w:rsidRPr="007440C5" w:rsidTr="00BB288F">
        <w:trPr>
          <w:trHeight w:val="225"/>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Unemployed</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8.0%</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8.3%</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5.8%</w:t>
            </w:r>
          </w:p>
        </w:tc>
      </w:tr>
      <w:tr w:rsidR="007440C5" w:rsidRPr="007440C5" w:rsidTr="00BB288F">
        <w:trPr>
          <w:trHeight w:val="256"/>
        </w:trPr>
        <w:tc>
          <w:tcPr>
            <w:tcW w:w="4536" w:type="dxa"/>
            <w:shd w:val="clear" w:color="auto" w:fill="auto"/>
            <w:noWrap/>
            <w:vAlign w:val="center"/>
          </w:tcPr>
          <w:p w:rsidR="007440C5" w:rsidRPr="007440C5" w:rsidRDefault="007440C5" w:rsidP="007440C5">
            <w:pPr>
              <w:spacing w:after="0" w:line="240" w:lineRule="auto"/>
              <w:rPr>
                <w:color w:val="000000"/>
                <w:sz w:val="20"/>
              </w:rPr>
            </w:pPr>
            <w:r w:rsidRPr="007440C5">
              <w:rPr>
                <w:color w:val="000000"/>
                <w:sz w:val="20"/>
              </w:rPr>
              <w:t>Full-time student</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5.5%</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3.9%</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3.4%</w:t>
            </w:r>
          </w:p>
        </w:tc>
      </w:tr>
      <w:tr w:rsidR="007440C5" w:rsidRPr="007440C5" w:rsidTr="00BB288F">
        <w:trPr>
          <w:trHeight w:val="261"/>
        </w:trPr>
        <w:tc>
          <w:tcPr>
            <w:tcW w:w="4536" w:type="dxa"/>
            <w:shd w:val="clear" w:color="auto" w:fill="auto"/>
            <w:noWrap/>
            <w:vAlign w:val="center"/>
          </w:tcPr>
          <w:p w:rsidR="007440C5" w:rsidRPr="007440C5" w:rsidRDefault="007440C5" w:rsidP="007440C5">
            <w:pPr>
              <w:spacing w:after="0" w:line="240" w:lineRule="auto"/>
              <w:rPr>
                <w:color w:val="000000"/>
                <w:sz w:val="20"/>
              </w:rPr>
            </w:pPr>
            <w:r w:rsidRPr="007440C5">
              <w:rPr>
                <w:color w:val="000000"/>
                <w:sz w:val="20"/>
              </w:rPr>
              <w:t>Retired</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7.1%</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7.5%</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12.0%</w:t>
            </w:r>
          </w:p>
        </w:tc>
      </w:tr>
      <w:tr w:rsidR="007440C5" w:rsidRPr="007440C5" w:rsidTr="00BB288F">
        <w:trPr>
          <w:trHeight w:val="278"/>
        </w:trPr>
        <w:tc>
          <w:tcPr>
            <w:tcW w:w="4536" w:type="dxa"/>
            <w:shd w:val="clear" w:color="auto" w:fill="auto"/>
            <w:noWrap/>
            <w:vAlign w:val="center"/>
          </w:tcPr>
          <w:p w:rsidR="007440C5" w:rsidRPr="007440C5" w:rsidRDefault="007440C5" w:rsidP="007440C5">
            <w:pPr>
              <w:spacing w:after="0" w:line="240" w:lineRule="auto"/>
              <w:rPr>
                <w:bCs/>
                <w:color w:val="000000"/>
                <w:sz w:val="20"/>
              </w:rPr>
            </w:pPr>
            <w:r w:rsidRPr="007440C5">
              <w:rPr>
                <w:bCs/>
                <w:color w:val="000000"/>
                <w:sz w:val="20"/>
              </w:rPr>
              <w:t>Other economically inactive</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36.3%</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35.7%</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21.5%</w:t>
            </w:r>
          </w:p>
        </w:tc>
      </w:tr>
      <w:tr w:rsidR="007440C5" w:rsidRPr="007440C5" w:rsidTr="00BB288F">
        <w:trPr>
          <w:trHeight w:val="330"/>
        </w:trPr>
        <w:tc>
          <w:tcPr>
            <w:tcW w:w="4536" w:type="dxa"/>
            <w:shd w:val="clear" w:color="auto" w:fill="auto"/>
            <w:noWrap/>
            <w:vAlign w:val="center"/>
            <w:hideMark/>
          </w:tcPr>
          <w:p w:rsidR="007440C5" w:rsidRPr="007440C5" w:rsidRDefault="007440C5" w:rsidP="007440C5">
            <w:pPr>
              <w:spacing w:after="0" w:line="240" w:lineRule="auto"/>
              <w:rPr>
                <w:b/>
                <w:bCs/>
                <w:color w:val="000000"/>
                <w:sz w:val="20"/>
              </w:rPr>
            </w:pPr>
            <w:r w:rsidRPr="007440C5">
              <w:rPr>
                <w:b/>
                <w:bCs/>
                <w:color w:val="000000"/>
                <w:sz w:val="20"/>
              </w:rPr>
              <w:t>Occupation</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p>
        </w:tc>
      </w:tr>
      <w:tr w:rsidR="007440C5" w:rsidRPr="007440C5" w:rsidTr="00BB288F">
        <w:trPr>
          <w:trHeight w:val="202"/>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Professional/managerial occupations</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24.7%</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26.5%</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34.8%</w:t>
            </w:r>
          </w:p>
        </w:tc>
      </w:tr>
      <w:tr w:rsidR="007440C5" w:rsidRPr="007440C5" w:rsidTr="00BB288F">
        <w:trPr>
          <w:trHeight w:val="235"/>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Intermediate occupations</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40.5%</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40.6%</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42.6%</w:t>
            </w:r>
          </w:p>
        </w:tc>
      </w:tr>
      <w:tr w:rsidR="007440C5" w:rsidRPr="007440C5" w:rsidTr="00BB288F">
        <w:trPr>
          <w:trHeight w:val="238"/>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Process, plant, machine, routine occupations</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34.8%</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33.0%</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22.6%</w:t>
            </w:r>
          </w:p>
        </w:tc>
      </w:tr>
      <w:tr w:rsidR="007440C5" w:rsidRPr="007440C5" w:rsidTr="00BB288F">
        <w:trPr>
          <w:trHeight w:val="315"/>
        </w:trPr>
        <w:tc>
          <w:tcPr>
            <w:tcW w:w="4536" w:type="dxa"/>
            <w:shd w:val="clear" w:color="auto" w:fill="auto"/>
            <w:noWrap/>
            <w:vAlign w:val="center"/>
            <w:hideMark/>
          </w:tcPr>
          <w:p w:rsidR="007440C5" w:rsidRPr="007440C5" w:rsidRDefault="007440C5" w:rsidP="007440C5">
            <w:pPr>
              <w:spacing w:after="0" w:line="240" w:lineRule="auto"/>
              <w:rPr>
                <w:b/>
                <w:bCs/>
                <w:color w:val="000000"/>
                <w:sz w:val="20"/>
              </w:rPr>
            </w:pPr>
            <w:r w:rsidRPr="007440C5">
              <w:rPr>
                <w:b/>
                <w:bCs/>
                <w:color w:val="000000"/>
                <w:sz w:val="20"/>
              </w:rPr>
              <w:t>Education/qualifications</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p>
        </w:tc>
      </w:tr>
      <w:tr w:rsidR="007440C5" w:rsidRPr="007440C5" w:rsidTr="00BB288F">
        <w:trPr>
          <w:trHeight w:val="232"/>
        </w:trPr>
        <w:tc>
          <w:tcPr>
            <w:tcW w:w="4536" w:type="dxa"/>
            <w:shd w:val="clear" w:color="auto" w:fill="auto"/>
            <w:noWrap/>
            <w:vAlign w:val="center"/>
            <w:hideMark/>
          </w:tcPr>
          <w:p w:rsidR="007440C5" w:rsidRPr="007440C5" w:rsidRDefault="007440C5" w:rsidP="007440C5">
            <w:pPr>
              <w:spacing w:after="0" w:line="240" w:lineRule="auto"/>
              <w:rPr>
                <w:color w:val="000000"/>
                <w:sz w:val="20"/>
              </w:rPr>
            </w:pPr>
            <w:r w:rsidRPr="007440C5">
              <w:rPr>
                <w:color w:val="000000"/>
                <w:sz w:val="20"/>
              </w:rPr>
              <w:t>No qualifications</w:t>
            </w:r>
          </w:p>
        </w:tc>
        <w:tc>
          <w:tcPr>
            <w:tcW w:w="1497" w:type="dxa"/>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33.2%</w:t>
            </w:r>
          </w:p>
        </w:tc>
        <w:tc>
          <w:tcPr>
            <w:tcW w:w="1480" w:type="dxa"/>
            <w:shd w:val="clear" w:color="auto" w:fill="auto"/>
            <w:noWrap/>
            <w:vAlign w:val="center"/>
          </w:tcPr>
          <w:p w:rsidR="007440C5" w:rsidRPr="007440C5" w:rsidRDefault="007440C5" w:rsidP="007440C5">
            <w:pPr>
              <w:spacing w:after="0" w:line="240" w:lineRule="auto"/>
              <w:jc w:val="center"/>
              <w:rPr>
                <w:rFonts w:ascii="Calibri" w:hAnsi="Calibri"/>
                <w:bCs/>
                <w:iCs/>
                <w:color w:val="000000"/>
                <w:sz w:val="20"/>
                <w:szCs w:val="20"/>
              </w:rPr>
            </w:pPr>
            <w:r w:rsidRPr="007440C5">
              <w:rPr>
                <w:rFonts w:ascii="Calibri" w:hAnsi="Calibri"/>
                <w:bCs/>
                <w:iCs/>
                <w:color w:val="000000"/>
                <w:sz w:val="20"/>
                <w:szCs w:val="20"/>
              </w:rPr>
              <w:t>36.4%</w:t>
            </w:r>
          </w:p>
        </w:tc>
        <w:tc>
          <w:tcPr>
            <w:tcW w:w="1417" w:type="dxa"/>
            <w:shd w:val="clear" w:color="auto" w:fill="auto"/>
            <w:noWrap/>
            <w:vAlign w:val="center"/>
          </w:tcPr>
          <w:p w:rsidR="007440C5" w:rsidRPr="007440C5" w:rsidRDefault="007440C5" w:rsidP="007440C5">
            <w:pPr>
              <w:spacing w:after="0" w:line="240" w:lineRule="auto"/>
              <w:jc w:val="center"/>
              <w:rPr>
                <w:rFonts w:ascii="Calibri" w:hAnsi="Calibri"/>
                <w:b/>
                <w:bCs/>
                <w:i/>
                <w:iCs/>
                <w:color w:val="000000"/>
                <w:sz w:val="20"/>
                <w:szCs w:val="20"/>
              </w:rPr>
            </w:pPr>
            <w:r w:rsidRPr="007440C5">
              <w:rPr>
                <w:rFonts w:ascii="Calibri" w:hAnsi="Calibri"/>
                <w:b/>
                <w:bCs/>
                <w:i/>
                <w:iCs/>
                <w:color w:val="000000"/>
                <w:sz w:val="20"/>
                <w:szCs w:val="20"/>
              </w:rPr>
              <w:t>27.7%</w:t>
            </w:r>
          </w:p>
        </w:tc>
      </w:tr>
    </w:tbl>
    <w:p w:rsidR="007440C5" w:rsidRPr="007440C5" w:rsidRDefault="007440C5" w:rsidP="007440C5">
      <w:pPr>
        <w:spacing w:before="120" w:after="0"/>
        <w:ind w:firstLine="720"/>
        <w:rPr>
          <w:sz w:val="18"/>
        </w:rPr>
      </w:pPr>
      <w:r w:rsidRPr="007440C5">
        <w:rPr>
          <w:sz w:val="18"/>
        </w:rPr>
        <w:t>(</w:t>
      </w:r>
      <w:r w:rsidRPr="007440C5">
        <w:rPr>
          <w:i/>
          <w:sz w:val="18"/>
        </w:rPr>
        <w:t>Source:  2011 Census in ONS Neighbourhood Statistics 2014</w:t>
      </w:r>
      <w:r w:rsidRPr="007440C5">
        <w:rPr>
          <w:sz w:val="18"/>
        </w:rPr>
        <w:t>)</w:t>
      </w:r>
    </w:p>
    <w:p w:rsidR="007440C5" w:rsidRPr="007440C5" w:rsidRDefault="007440C5" w:rsidP="007440C5">
      <w:pPr>
        <w:spacing w:before="120" w:after="0"/>
        <w:ind w:left="720"/>
      </w:pPr>
      <w:r w:rsidRPr="007440C5">
        <w:t>Table 3 shows that in areas close to the University and College campus, there is a much smaller proportion of people in full-time work or in managerial and professional occupations, and a higher proportion of people employed in routine (low</w:t>
      </w:r>
      <w:r w:rsidR="00BB288F">
        <w:t>-</w:t>
      </w:r>
      <w:r w:rsidRPr="007440C5">
        <w:t>paid) occupations or who are unemployed and economically inactive than for Bradford as a whole. However, there are eno</w:t>
      </w:r>
      <w:r w:rsidR="00F74F45">
        <w:t>ugh people in average or higher-</w:t>
      </w:r>
      <w:r w:rsidRPr="007440C5">
        <w:t>paid work to afford market house prices and rents in those areas.</w:t>
      </w:r>
    </w:p>
    <w:p w:rsidR="007440C5" w:rsidRPr="007440C5" w:rsidRDefault="007440C5" w:rsidP="007440C5">
      <w:pPr>
        <w:spacing w:before="120" w:after="0"/>
        <w:ind w:firstLine="720"/>
        <w:rPr>
          <w:u w:val="single"/>
        </w:rPr>
      </w:pPr>
      <w:r w:rsidRPr="007440C5">
        <w:rPr>
          <w:u w:val="single"/>
        </w:rPr>
        <w:t>Housing tenure and housing type</w:t>
      </w:r>
    </w:p>
    <w:p w:rsidR="007440C5" w:rsidRPr="007440C5" w:rsidRDefault="007440C5" w:rsidP="00EE5EB2">
      <w:pPr>
        <w:tabs>
          <w:tab w:val="left" w:pos="1701"/>
        </w:tabs>
        <w:spacing w:before="120" w:after="100" w:afterAutospacing="1"/>
        <w:ind w:firstLine="720"/>
        <w:rPr>
          <w:i/>
          <w:u w:val="single"/>
        </w:rPr>
      </w:pPr>
      <w:r w:rsidRPr="007440C5">
        <w:rPr>
          <w:i/>
        </w:rPr>
        <w:t>Table 4:</w:t>
      </w:r>
      <w:r w:rsidR="00F74F45">
        <w:rPr>
          <w:i/>
        </w:rPr>
        <w:tab/>
      </w:r>
      <w:r w:rsidRPr="007440C5">
        <w:rPr>
          <w:i/>
        </w:rPr>
        <w:t xml:space="preserve">Housing tenure in wards with highest student residence </w:t>
      </w:r>
    </w:p>
    <w:tbl>
      <w:tblPr>
        <w:tblW w:w="8647"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477"/>
        <w:gridCol w:w="1092"/>
        <w:gridCol w:w="865"/>
        <w:gridCol w:w="810"/>
        <w:gridCol w:w="693"/>
        <w:gridCol w:w="719"/>
        <w:gridCol w:w="669"/>
        <w:gridCol w:w="719"/>
        <w:gridCol w:w="746"/>
      </w:tblGrid>
      <w:tr w:rsidR="007440C5" w:rsidRPr="007440C5" w:rsidTr="00BB288F">
        <w:trPr>
          <w:trHeight w:val="870"/>
        </w:trPr>
        <w:tc>
          <w:tcPr>
            <w:tcW w:w="2477" w:type="dxa"/>
            <w:shd w:val="clear" w:color="auto" w:fill="auto"/>
            <w:hideMark/>
          </w:tcPr>
          <w:p w:rsidR="007440C5" w:rsidRPr="007440C5" w:rsidRDefault="007440C5" w:rsidP="007440C5">
            <w:pPr>
              <w:spacing w:after="0"/>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Ward</w:t>
            </w:r>
          </w:p>
        </w:tc>
        <w:tc>
          <w:tcPr>
            <w:tcW w:w="1092" w:type="dxa"/>
            <w:shd w:val="clear" w:color="auto" w:fill="auto"/>
            <w:hideMark/>
          </w:tcPr>
          <w:p w:rsidR="007440C5" w:rsidRPr="007440C5" w:rsidRDefault="007440C5" w:rsidP="007440C5">
            <w:pPr>
              <w:spacing w:after="0"/>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All households</w:t>
            </w:r>
          </w:p>
        </w:tc>
        <w:tc>
          <w:tcPr>
            <w:tcW w:w="865" w:type="dxa"/>
            <w:shd w:val="clear" w:color="auto" w:fill="auto"/>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 students</w:t>
            </w:r>
          </w:p>
        </w:tc>
        <w:tc>
          <w:tcPr>
            <w:tcW w:w="1457" w:type="dxa"/>
            <w:gridSpan w:val="2"/>
            <w:shd w:val="clear" w:color="auto" w:fill="auto"/>
            <w:hideMark/>
          </w:tcPr>
          <w:p w:rsidR="007440C5" w:rsidRPr="007440C5" w:rsidRDefault="007440C5" w:rsidP="007440C5">
            <w:pPr>
              <w:spacing w:after="0"/>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Home owners</w:t>
            </w:r>
          </w:p>
        </w:tc>
        <w:tc>
          <w:tcPr>
            <w:tcW w:w="1337" w:type="dxa"/>
            <w:gridSpan w:val="2"/>
            <w:shd w:val="clear" w:color="auto" w:fill="auto"/>
            <w:hideMark/>
          </w:tcPr>
          <w:p w:rsidR="007440C5" w:rsidRPr="007440C5" w:rsidRDefault="007440C5" w:rsidP="007440C5">
            <w:pPr>
              <w:spacing w:after="0"/>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Rented from a housing association</w:t>
            </w:r>
            <w:r w:rsidRPr="007440C5">
              <w:rPr>
                <w:rFonts w:ascii="Calibri" w:eastAsia="Times New Roman" w:hAnsi="Calibri" w:cs="Times New Roman"/>
                <w:b/>
                <w:bCs/>
                <w:sz w:val="18"/>
                <w:szCs w:val="18"/>
                <w:vertAlign w:val="superscript"/>
                <w:lang w:eastAsia="en-GB"/>
              </w:rPr>
              <w:footnoteReference w:id="5"/>
            </w:r>
          </w:p>
        </w:tc>
        <w:tc>
          <w:tcPr>
            <w:tcW w:w="1419" w:type="dxa"/>
            <w:gridSpan w:val="2"/>
            <w:shd w:val="clear" w:color="auto" w:fill="auto"/>
            <w:hideMark/>
          </w:tcPr>
          <w:p w:rsidR="007440C5" w:rsidRPr="007440C5" w:rsidRDefault="007440C5" w:rsidP="007440C5">
            <w:pPr>
              <w:spacing w:after="0"/>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Private rented</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City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7,489</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26.57%</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2347</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31.3%</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1,595</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21.3%</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3,396</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45.3%</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Toller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5,331</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8.96%</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3495</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65.6%</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474</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8.9%</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1,265</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23.7%</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Bradford Moor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5,756</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8.88%</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3363</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58.4%</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1,011</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17.6%</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1,241</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21.6%</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proofErr w:type="spellStart"/>
            <w:r w:rsidRPr="007440C5">
              <w:rPr>
                <w:rFonts w:ascii="Calibri" w:eastAsia="Times New Roman" w:hAnsi="Calibri" w:cs="Times New Roman"/>
                <w:sz w:val="18"/>
                <w:szCs w:val="18"/>
                <w:lang w:eastAsia="en-GB"/>
              </w:rPr>
              <w:t>Manningham</w:t>
            </w:r>
            <w:proofErr w:type="spellEnd"/>
            <w:r w:rsidRPr="007440C5">
              <w:rPr>
                <w:rFonts w:ascii="Calibri" w:eastAsia="Times New Roman" w:hAnsi="Calibri" w:cs="Times New Roman"/>
                <w:sz w:val="18"/>
                <w:szCs w:val="18"/>
                <w:lang w:eastAsia="en-GB"/>
              </w:rPr>
              <w:t xml:space="preserve">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5,605</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8.43%</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2591</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46.2%</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1,603</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28.6%</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1,260</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22.5%</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Heaton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5,207</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8.33%</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3595</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69.0%</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559</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10.7%</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970</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18.6%</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Little Horton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6,719</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7.36%</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3159</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47.0%</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1,814</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27.0%</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1,572</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23.4%</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 xml:space="preserve">Bowling and </w:t>
            </w:r>
            <w:proofErr w:type="spellStart"/>
            <w:r w:rsidRPr="007440C5">
              <w:rPr>
                <w:rFonts w:ascii="Calibri" w:eastAsia="Times New Roman" w:hAnsi="Calibri" w:cs="Times New Roman"/>
                <w:sz w:val="18"/>
                <w:szCs w:val="18"/>
                <w:lang w:eastAsia="en-GB"/>
              </w:rPr>
              <w:t>Barkerend</w:t>
            </w:r>
            <w:proofErr w:type="spellEnd"/>
            <w:r w:rsidRPr="007440C5">
              <w:rPr>
                <w:rFonts w:ascii="Calibri" w:eastAsia="Times New Roman" w:hAnsi="Calibri" w:cs="Times New Roman"/>
                <w:sz w:val="18"/>
                <w:szCs w:val="18"/>
                <w:lang w:eastAsia="en-GB"/>
              </w:rPr>
              <w:t xml:space="preserve">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7,124</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7.09%</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3554</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49.9%</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1,652</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23.2%</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1,765</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24.8%</w:t>
            </w:r>
          </w:p>
        </w:tc>
      </w:tr>
      <w:tr w:rsidR="007440C5" w:rsidRPr="007440C5" w:rsidTr="00BB288F">
        <w:trPr>
          <w:trHeight w:val="360"/>
        </w:trPr>
        <w:tc>
          <w:tcPr>
            <w:tcW w:w="2477" w:type="dxa"/>
            <w:shd w:val="clear" w:color="auto" w:fill="auto"/>
            <w:noWrap/>
            <w:vAlign w:val="bottom"/>
            <w:hideMark/>
          </w:tcPr>
          <w:p w:rsidR="007440C5" w:rsidRPr="007440C5" w:rsidRDefault="007440C5" w:rsidP="007440C5">
            <w:pPr>
              <w:spacing w:after="0"/>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Great Horton Ward</w:t>
            </w:r>
          </w:p>
        </w:tc>
        <w:tc>
          <w:tcPr>
            <w:tcW w:w="1092"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6,169</w:t>
            </w:r>
          </w:p>
        </w:tc>
        <w:tc>
          <w:tcPr>
            <w:tcW w:w="865"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7.01%</w:t>
            </w:r>
          </w:p>
        </w:tc>
        <w:tc>
          <w:tcPr>
            <w:tcW w:w="7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3930</w:t>
            </w:r>
          </w:p>
        </w:tc>
        <w:tc>
          <w:tcPr>
            <w:tcW w:w="69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63.7%</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754</w:t>
            </w:r>
          </w:p>
        </w:tc>
        <w:tc>
          <w:tcPr>
            <w:tcW w:w="664"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12.2%</w:t>
            </w:r>
          </w:p>
        </w:tc>
        <w:tc>
          <w:tcPr>
            <w:tcW w:w="673"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1,393</w:t>
            </w:r>
          </w:p>
        </w:tc>
        <w:tc>
          <w:tcPr>
            <w:tcW w:w="746" w:type="dxa"/>
            <w:shd w:val="clear" w:color="auto" w:fill="auto"/>
            <w:noWrap/>
            <w:vAlign w:val="bottom"/>
            <w:hideMark/>
          </w:tcPr>
          <w:p w:rsidR="007440C5" w:rsidRPr="007440C5" w:rsidRDefault="007440C5" w:rsidP="007440C5">
            <w:pPr>
              <w:spacing w:after="0"/>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22.6%</w:t>
            </w:r>
          </w:p>
        </w:tc>
      </w:tr>
      <w:tr w:rsidR="007440C5" w:rsidRPr="007440C5" w:rsidTr="00BB288F">
        <w:trPr>
          <w:trHeight w:val="360"/>
        </w:trPr>
        <w:tc>
          <w:tcPr>
            <w:tcW w:w="2477" w:type="dxa"/>
            <w:tcBorders>
              <w:top w:val="single" w:sz="8" w:space="0" w:color="auto"/>
              <w:left w:val="single" w:sz="8"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BRADFORD AVERAGE</w:t>
            </w:r>
          </w:p>
        </w:tc>
        <w:tc>
          <w:tcPr>
            <w:tcW w:w="1092"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199,296</w:t>
            </w:r>
          </w:p>
        </w:tc>
        <w:tc>
          <w:tcPr>
            <w:tcW w:w="865"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color w:val="000000"/>
                <w:sz w:val="18"/>
                <w:szCs w:val="18"/>
                <w:lang w:eastAsia="en-GB"/>
              </w:rPr>
            </w:pPr>
            <w:r w:rsidRPr="007440C5">
              <w:rPr>
                <w:rFonts w:ascii="Calibri" w:eastAsia="Times New Roman" w:hAnsi="Calibri" w:cs="Times New Roman"/>
                <w:b/>
                <w:color w:val="000000"/>
                <w:sz w:val="18"/>
                <w:szCs w:val="18"/>
                <w:lang w:eastAsia="en-GB"/>
              </w:rPr>
              <w:t>6.67%</w:t>
            </w:r>
          </w:p>
        </w:tc>
        <w:tc>
          <w:tcPr>
            <w:tcW w:w="764"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130,715</w:t>
            </w:r>
          </w:p>
        </w:tc>
        <w:tc>
          <w:tcPr>
            <w:tcW w:w="693"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65.6%</w:t>
            </w:r>
          </w:p>
        </w:tc>
        <w:tc>
          <w:tcPr>
            <w:tcW w:w="673"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29,513</w:t>
            </w:r>
          </w:p>
        </w:tc>
        <w:tc>
          <w:tcPr>
            <w:tcW w:w="664"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14.8%</w:t>
            </w:r>
          </w:p>
        </w:tc>
        <w:tc>
          <w:tcPr>
            <w:tcW w:w="673" w:type="dxa"/>
            <w:tcBorders>
              <w:top w:val="single" w:sz="8" w:space="0" w:color="auto"/>
              <w:left w:val="single" w:sz="6" w:space="0" w:color="auto"/>
              <w:bottom w:val="single" w:sz="8" w:space="0" w:color="auto"/>
              <w:right w:val="single" w:sz="6"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36,070</w:t>
            </w:r>
          </w:p>
        </w:tc>
        <w:tc>
          <w:tcPr>
            <w:tcW w:w="746" w:type="dxa"/>
            <w:tcBorders>
              <w:top w:val="single" w:sz="8" w:space="0" w:color="auto"/>
              <w:left w:val="single" w:sz="6" w:space="0" w:color="auto"/>
              <w:bottom w:val="single" w:sz="8" w:space="0" w:color="auto"/>
              <w:right w:val="single" w:sz="8" w:space="0" w:color="auto"/>
            </w:tcBorders>
            <w:shd w:val="clear" w:color="auto" w:fill="auto"/>
            <w:noWrap/>
            <w:vAlign w:val="bottom"/>
            <w:hideMark/>
          </w:tcPr>
          <w:p w:rsidR="007440C5" w:rsidRPr="007440C5" w:rsidRDefault="007440C5" w:rsidP="007440C5">
            <w:pPr>
              <w:spacing w:after="0"/>
              <w:jc w:val="center"/>
              <w:rPr>
                <w:rFonts w:ascii="Calibri" w:eastAsia="Times New Roman" w:hAnsi="Calibri" w:cs="Times New Roman"/>
                <w:b/>
                <w:sz w:val="18"/>
                <w:szCs w:val="18"/>
                <w:lang w:eastAsia="en-GB"/>
              </w:rPr>
            </w:pPr>
            <w:r w:rsidRPr="007440C5">
              <w:rPr>
                <w:rFonts w:ascii="Calibri" w:eastAsia="Times New Roman" w:hAnsi="Calibri" w:cs="Times New Roman"/>
                <w:b/>
                <w:sz w:val="18"/>
                <w:szCs w:val="18"/>
                <w:lang w:eastAsia="en-GB"/>
              </w:rPr>
              <w:t>18.1%</w:t>
            </w:r>
          </w:p>
        </w:tc>
      </w:tr>
    </w:tbl>
    <w:p w:rsidR="007440C5" w:rsidRPr="007440C5" w:rsidRDefault="007440C5" w:rsidP="007440C5">
      <w:pPr>
        <w:spacing w:before="120" w:after="0"/>
        <w:ind w:left="720"/>
        <w:rPr>
          <w:sz w:val="18"/>
        </w:rPr>
      </w:pPr>
      <w:r w:rsidRPr="007440C5">
        <w:rPr>
          <w:sz w:val="18"/>
        </w:rPr>
        <w:t>(</w:t>
      </w:r>
      <w:r w:rsidRPr="007440C5">
        <w:rPr>
          <w:i/>
          <w:sz w:val="18"/>
        </w:rPr>
        <w:t>Source:  2011 Census via West Yorkshire Observatory 2014</w:t>
      </w:r>
      <w:r w:rsidRPr="007440C5">
        <w:rPr>
          <w:sz w:val="18"/>
        </w:rPr>
        <w:t>)</w:t>
      </w:r>
    </w:p>
    <w:p w:rsidR="007440C5" w:rsidRPr="007440C5" w:rsidRDefault="007440C5" w:rsidP="007440C5">
      <w:pPr>
        <w:spacing w:before="120" w:after="0"/>
        <w:ind w:left="720"/>
      </w:pPr>
      <w:r w:rsidRPr="007440C5">
        <w:lastRenderedPageBreak/>
        <w:t>Table 4 shows that in most wards with higher than average student populations there is a mixture of tenures and that no one housing tenure dominates any of the wards listed.  This is in contrast to areas of Nottingham and Leeds where private rented housing tended to dominate the housing composition of areas with high student populations.  Levels of home ownership, however, tended to be lower than the city average in most wards.</w:t>
      </w:r>
    </w:p>
    <w:p w:rsidR="007440C5" w:rsidRPr="007440C5" w:rsidRDefault="007440C5" w:rsidP="007440C5">
      <w:pPr>
        <w:spacing w:before="120" w:after="0"/>
        <w:rPr>
          <w:b/>
        </w:rPr>
      </w:pPr>
      <w:r w:rsidRPr="00F74F45">
        <w:t>1.3.6</w:t>
      </w:r>
      <w:r w:rsidRPr="007440C5">
        <w:rPr>
          <w:b/>
        </w:rPr>
        <w:tab/>
      </w:r>
      <w:r w:rsidRPr="00F74F45">
        <w:rPr>
          <w:i/>
        </w:rPr>
        <w:t>Housing market context</w:t>
      </w:r>
    </w:p>
    <w:p w:rsidR="007440C5" w:rsidRPr="007440C5" w:rsidRDefault="007440C5" w:rsidP="007440C5">
      <w:pPr>
        <w:spacing w:before="120" w:after="0"/>
        <w:ind w:left="720"/>
      </w:pPr>
      <w:r w:rsidRPr="007440C5">
        <w:t>The information presented above identifies those wards with the highest student populations. Analysis of housing market conditions in those areas is shown below in Tables 5 and 6.</w:t>
      </w:r>
    </w:p>
    <w:p w:rsidR="007440C5" w:rsidRPr="007440C5" w:rsidRDefault="007440C5" w:rsidP="00EE5EB2">
      <w:pPr>
        <w:tabs>
          <w:tab w:val="left" w:pos="1701"/>
        </w:tabs>
        <w:spacing w:before="120" w:after="100" w:afterAutospacing="1"/>
        <w:ind w:left="720"/>
        <w:rPr>
          <w:i/>
        </w:rPr>
      </w:pPr>
      <w:r w:rsidRPr="007440C5">
        <w:rPr>
          <w:i/>
        </w:rPr>
        <w:t>Table 5:</w:t>
      </w:r>
      <w:r w:rsidR="002E6727">
        <w:rPr>
          <w:i/>
        </w:rPr>
        <w:tab/>
      </w:r>
      <w:r w:rsidRPr="007440C5">
        <w:rPr>
          <w:i/>
        </w:rPr>
        <w:t>Average house prices for different property types in areas with highest student residence</w:t>
      </w:r>
    </w:p>
    <w:tbl>
      <w:tblPr>
        <w:tblW w:w="8876"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119"/>
        <w:gridCol w:w="992"/>
        <w:gridCol w:w="900"/>
        <w:gridCol w:w="993"/>
        <w:gridCol w:w="992"/>
        <w:gridCol w:w="902"/>
        <w:gridCol w:w="978"/>
      </w:tblGrid>
      <w:tr w:rsidR="007440C5" w:rsidRPr="007440C5" w:rsidTr="00BB288F">
        <w:trPr>
          <w:trHeight w:val="300"/>
        </w:trPr>
        <w:tc>
          <w:tcPr>
            <w:tcW w:w="3119" w:type="dxa"/>
            <w:shd w:val="clear" w:color="auto" w:fill="auto"/>
            <w:noWrap/>
            <w:vAlign w:val="bottom"/>
            <w:hideMark/>
          </w:tcPr>
          <w:p w:rsidR="007440C5" w:rsidRPr="007440C5" w:rsidRDefault="007440C5" w:rsidP="007440C5">
            <w:pPr>
              <w:spacing w:after="0" w:line="240" w:lineRule="auto"/>
              <w:rPr>
                <w:rFonts w:eastAsia="Times New Roman" w:cs="Times New Roman"/>
                <w:b/>
                <w:bCs/>
                <w:color w:val="000000"/>
                <w:sz w:val="18"/>
                <w:szCs w:val="20"/>
                <w:lang w:eastAsia="en-GB"/>
              </w:rPr>
            </w:pPr>
          </w:p>
        </w:tc>
        <w:tc>
          <w:tcPr>
            <w:tcW w:w="992"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 bed</w:t>
            </w:r>
          </w:p>
        </w:tc>
        <w:tc>
          <w:tcPr>
            <w:tcW w:w="900"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2 bed</w:t>
            </w:r>
          </w:p>
        </w:tc>
        <w:tc>
          <w:tcPr>
            <w:tcW w:w="993"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Entry level</w:t>
            </w:r>
          </w:p>
        </w:tc>
        <w:tc>
          <w:tcPr>
            <w:tcW w:w="992"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3 bed</w:t>
            </w:r>
          </w:p>
        </w:tc>
        <w:tc>
          <w:tcPr>
            <w:tcW w:w="902"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4+ bed</w:t>
            </w:r>
          </w:p>
        </w:tc>
        <w:tc>
          <w:tcPr>
            <w:tcW w:w="978" w:type="dxa"/>
            <w:shd w:val="clear" w:color="auto" w:fill="auto"/>
            <w:noWrap/>
            <w:vAlign w:val="bottom"/>
            <w:hideMark/>
          </w:tcPr>
          <w:p w:rsidR="007440C5" w:rsidRPr="007440C5" w:rsidRDefault="007440C5" w:rsidP="007440C5">
            <w:pPr>
              <w:spacing w:after="0" w:line="240"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ALL</w:t>
            </w:r>
          </w:p>
        </w:tc>
      </w:tr>
      <w:tr w:rsidR="007440C5" w:rsidRPr="007440C5" w:rsidTr="00BB288F">
        <w:trPr>
          <w:trHeight w:val="300"/>
        </w:trPr>
        <w:tc>
          <w:tcPr>
            <w:tcW w:w="5011" w:type="dxa"/>
            <w:gridSpan w:val="3"/>
            <w:shd w:val="clear" w:color="auto" w:fill="auto"/>
            <w:noWrap/>
            <w:vAlign w:val="center"/>
            <w:hideMark/>
          </w:tcPr>
          <w:p w:rsidR="007440C5" w:rsidRPr="007440C5" w:rsidRDefault="007440C5" w:rsidP="007440C5">
            <w:pPr>
              <w:spacing w:before="60" w:after="60" w:line="312" w:lineRule="auto"/>
              <w:rPr>
                <w:rFonts w:eastAsia="Times New Roman" w:cs="Times New Roman"/>
                <w:b/>
                <w:bCs/>
                <w:color w:val="000000"/>
                <w:sz w:val="20"/>
                <w:szCs w:val="20"/>
                <w:lang w:eastAsia="en-GB"/>
              </w:rPr>
            </w:pPr>
            <w:r w:rsidRPr="007440C5">
              <w:rPr>
                <w:rFonts w:eastAsia="Times New Roman" w:cs="Times New Roman"/>
                <w:b/>
                <w:bCs/>
                <w:color w:val="000000"/>
                <w:sz w:val="20"/>
                <w:szCs w:val="20"/>
                <w:lang w:eastAsia="en-GB"/>
              </w:rPr>
              <w:t>Areas within 2 miles of the University/College campus</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20"/>
                <w:szCs w:val="20"/>
                <w:lang w:eastAsia="en-GB"/>
              </w:rPr>
            </w:pP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20"/>
                <w:szCs w:val="20"/>
                <w:lang w:eastAsia="en-GB"/>
              </w:rPr>
            </w:pP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20"/>
                <w:szCs w:val="20"/>
                <w:lang w:eastAsia="en-GB"/>
              </w:rPr>
            </w:pP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20"/>
                <w:szCs w:val="20"/>
                <w:lang w:eastAsia="en-GB"/>
              </w:rPr>
            </w:pP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Shearbridge</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Lidgett</w:t>
            </w:r>
            <w:proofErr w:type="spellEnd"/>
            <w:r w:rsidRPr="007440C5">
              <w:rPr>
                <w:rFonts w:eastAsia="Times New Roman" w:cs="Times New Roman"/>
                <w:color w:val="000000"/>
                <w:sz w:val="18"/>
                <w:szCs w:val="20"/>
                <w:lang w:eastAsia="en-GB"/>
              </w:rPr>
              <w:t xml:space="preserve"> Green</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£50,139</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£88,541</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£69,340</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£113,506</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£189,451</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£117,537</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City Centre</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£76,476</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£96,155</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£86,316</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£162,500</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£96,165</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Little Horton, West Bowling</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£50,689</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£70,769</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£60,729</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£97,678</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£178,020</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£97,396</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 xml:space="preserve">Heaton, </w:t>
            </w:r>
            <w:proofErr w:type="spellStart"/>
            <w:r w:rsidRPr="007440C5">
              <w:rPr>
                <w:rFonts w:eastAsia="Times New Roman" w:cs="Times New Roman"/>
                <w:color w:val="000000"/>
                <w:sz w:val="18"/>
                <w:szCs w:val="20"/>
                <w:lang w:eastAsia="en-GB"/>
              </w:rPr>
              <w:t>Frizinghall</w:t>
            </w:r>
            <w:proofErr w:type="spellEnd"/>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£81,655</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£95,814</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£88,735</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£143,448</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£233,724</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£174,413</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i/>
                <w:color w:val="000000"/>
                <w:sz w:val="18"/>
                <w:szCs w:val="20"/>
                <w:lang w:eastAsia="en-GB"/>
              </w:rPr>
            </w:pPr>
            <w:r w:rsidRPr="007440C5">
              <w:rPr>
                <w:rFonts w:eastAsia="Times New Roman" w:cs="Times New Roman"/>
                <w:i/>
                <w:color w:val="000000"/>
                <w:sz w:val="18"/>
                <w:szCs w:val="20"/>
                <w:lang w:eastAsia="en-GB"/>
              </w:rPr>
              <w:t>Average</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£64,740</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£87,820</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£76,280</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£129,283</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£200,398</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£121,378</w:t>
            </w:r>
          </w:p>
        </w:tc>
      </w:tr>
      <w:tr w:rsidR="007440C5" w:rsidRPr="007440C5" w:rsidTr="00BB288F">
        <w:trPr>
          <w:trHeight w:val="300"/>
        </w:trPr>
        <w:tc>
          <w:tcPr>
            <w:tcW w:w="6004" w:type="dxa"/>
            <w:gridSpan w:val="4"/>
            <w:shd w:val="clear" w:color="auto" w:fill="auto"/>
            <w:noWrap/>
            <w:vAlign w:val="center"/>
            <w:hideMark/>
          </w:tcPr>
          <w:p w:rsidR="007440C5" w:rsidRPr="007440C5" w:rsidRDefault="007440C5" w:rsidP="007440C5">
            <w:pPr>
              <w:spacing w:before="60" w:after="60" w:line="312" w:lineRule="auto"/>
              <w:rPr>
                <w:rFonts w:eastAsia="Times New Roman" w:cs="Times New Roman"/>
                <w:b/>
                <w:bCs/>
                <w:color w:val="000000"/>
                <w:sz w:val="20"/>
                <w:szCs w:val="20"/>
                <w:lang w:eastAsia="en-GB"/>
              </w:rPr>
            </w:pPr>
            <w:r w:rsidRPr="007440C5">
              <w:rPr>
                <w:rFonts w:eastAsia="Times New Roman" w:cs="Times New Roman"/>
                <w:b/>
                <w:bCs/>
                <w:color w:val="000000"/>
                <w:sz w:val="20"/>
                <w:szCs w:val="20"/>
                <w:lang w:eastAsia="en-GB"/>
              </w:rPr>
              <w:t>Areas within 2 - 3 miles of the University/College campuses</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20"/>
                <w:szCs w:val="20"/>
                <w:lang w:eastAsia="en-GB"/>
              </w:rPr>
            </w:pP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20"/>
                <w:szCs w:val="20"/>
                <w:lang w:eastAsia="en-GB"/>
              </w:rPr>
            </w:pP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20"/>
                <w:szCs w:val="20"/>
                <w:lang w:eastAsia="en-GB"/>
              </w:rPr>
            </w:pP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Manningham</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Girlington</w:t>
            </w:r>
            <w:proofErr w:type="spellEnd"/>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£53,185</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£77,620</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£65,403</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£105,330</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£201,587</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£117,591</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Eccleshill</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Fagley</w:t>
            </w:r>
            <w:proofErr w:type="spellEnd"/>
            <w:r w:rsidRPr="007440C5">
              <w:rPr>
                <w:rFonts w:eastAsia="Times New Roman" w:cs="Times New Roman"/>
                <w:color w:val="000000"/>
                <w:sz w:val="18"/>
                <w:szCs w:val="20"/>
                <w:lang w:eastAsia="en-GB"/>
              </w:rPr>
              <w:t>, 5 Lane Ends</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£67,839</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£103,363</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£85,601</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£128,875</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£216,235</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£135,322</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Barkerend</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Laisterdyke</w:t>
            </w:r>
            <w:proofErr w:type="spellEnd"/>
            <w:r w:rsidRPr="007440C5">
              <w:rPr>
                <w:rFonts w:eastAsia="Times New Roman" w:cs="Times New Roman"/>
                <w:color w:val="000000"/>
                <w:sz w:val="18"/>
                <w:szCs w:val="20"/>
                <w:lang w:eastAsia="en-GB"/>
              </w:rPr>
              <w:t>, Bradford Moor</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£62,142</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£75,236</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£68,689</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£96,117</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£127,955</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£92,992</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Holmewood</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Tyersal</w:t>
            </w:r>
            <w:proofErr w:type="spellEnd"/>
            <w:r w:rsidRPr="007440C5">
              <w:rPr>
                <w:rFonts w:eastAsia="Times New Roman" w:cs="Times New Roman"/>
                <w:color w:val="000000"/>
                <w:sz w:val="18"/>
                <w:szCs w:val="20"/>
                <w:lang w:eastAsia="en-GB"/>
              </w:rPr>
              <w:t xml:space="preserve"> East Bowling</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£58,648</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£82,187</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£70,418</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£124,028</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color w:val="000000"/>
                <w:sz w:val="18"/>
                <w:szCs w:val="20"/>
                <w:lang w:eastAsia="en-GB"/>
              </w:rPr>
            </w:pPr>
            <w:r w:rsidRPr="007440C5">
              <w:rPr>
                <w:rFonts w:eastAsia="Times New Roman" w:cs="Times New Roman"/>
                <w:color w:val="000000"/>
                <w:sz w:val="18"/>
                <w:szCs w:val="20"/>
                <w:lang w:eastAsia="en-GB"/>
              </w:rPr>
              <w:t>£198,472</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£128,246</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i/>
                <w:color w:val="000000"/>
                <w:sz w:val="18"/>
                <w:szCs w:val="20"/>
                <w:lang w:eastAsia="en-GB"/>
              </w:rPr>
            </w:pPr>
            <w:r w:rsidRPr="007440C5">
              <w:rPr>
                <w:rFonts w:eastAsia="Times New Roman" w:cs="Times New Roman"/>
                <w:i/>
                <w:color w:val="000000"/>
                <w:sz w:val="18"/>
                <w:szCs w:val="20"/>
                <w:lang w:eastAsia="en-GB"/>
              </w:rPr>
              <w:t>Average</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£60,454</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£84,602</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£72,528</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£113,588</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£186,062</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i/>
                <w:iCs/>
                <w:color w:val="000000"/>
                <w:sz w:val="18"/>
                <w:szCs w:val="20"/>
                <w:lang w:eastAsia="en-GB"/>
              </w:rPr>
            </w:pPr>
            <w:r w:rsidRPr="007440C5">
              <w:rPr>
                <w:rFonts w:eastAsia="Times New Roman" w:cs="Times New Roman"/>
                <w:i/>
                <w:iCs/>
                <w:color w:val="000000"/>
                <w:sz w:val="18"/>
                <w:szCs w:val="20"/>
                <w:lang w:eastAsia="en-GB"/>
              </w:rPr>
              <w:t>£118,538</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before="60" w:after="60" w:line="312" w:lineRule="auto"/>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BRADFORD AVERAGE</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£71,955</w:t>
            </w:r>
          </w:p>
        </w:tc>
        <w:tc>
          <w:tcPr>
            <w:tcW w:w="900"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£99,344</w:t>
            </w:r>
          </w:p>
        </w:tc>
        <w:tc>
          <w:tcPr>
            <w:tcW w:w="993"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i/>
                <w:iCs/>
                <w:color w:val="000000"/>
                <w:sz w:val="18"/>
                <w:szCs w:val="20"/>
                <w:lang w:eastAsia="en-GB"/>
              </w:rPr>
            </w:pPr>
            <w:r w:rsidRPr="007440C5">
              <w:rPr>
                <w:rFonts w:eastAsia="Times New Roman" w:cs="Times New Roman"/>
                <w:b/>
                <w:bCs/>
                <w:i/>
                <w:iCs/>
                <w:color w:val="000000"/>
                <w:sz w:val="18"/>
                <w:szCs w:val="20"/>
                <w:lang w:eastAsia="en-GB"/>
              </w:rPr>
              <w:t>£85,650</w:t>
            </w:r>
          </w:p>
        </w:tc>
        <w:tc>
          <w:tcPr>
            <w:tcW w:w="99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£133,578</w:t>
            </w:r>
          </w:p>
        </w:tc>
        <w:tc>
          <w:tcPr>
            <w:tcW w:w="902"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£264,386</w:t>
            </w:r>
          </w:p>
        </w:tc>
        <w:tc>
          <w:tcPr>
            <w:tcW w:w="978" w:type="dxa"/>
            <w:shd w:val="clear" w:color="auto" w:fill="auto"/>
            <w:noWrap/>
            <w:vAlign w:val="center"/>
            <w:hideMark/>
          </w:tcPr>
          <w:p w:rsidR="007440C5" w:rsidRPr="007440C5" w:rsidRDefault="007440C5" w:rsidP="007440C5">
            <w:pPr>
              <w:spacing w:before="60" w:after="60" w:line="312" w:lineRule="auto"/>
              <w:jc w:val="center"/>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£145,478</w:t>
            </w:r>
          </w:p>
        </w:tc>
      </w:tr>
    </w:tbl>
    <w:p w:rsidR="007440C5" w:rsidRPr="007440C5" w:rsidRDefault="007440C5" w:rsidP="007440C5">
      <w:pPr>
        <w:spacing w:before="120" w:after="0"/>
        <w:ind w:firstLine="720"/>
        <w:rPr>
          <w:sz w:val="18"/>
        </w:rPr>
      </w:pPr>
      <w:r w:rsidRPr="007440C5">
        <w:rPr>
          <w:sz w:val="18"/>
        </w:rPr>
        <w:t>(</w:t>
      </w:r>
      <w:r w:rsidRPr="007440C5">
        <w:rPr>
          <w:i/>
          <w:sz w:val="18"/>
        </w:rPr>
        <w:t xml:space="preserve">Source:  </w:t>
      </w:r>
      <w:hyperlink r:id="rId9" w:history="1">
        <w:r w:rsidRPr="007440C5">
          <w:rPr>
            <w:i/>
            <w:color w:val="0000FF" w:themeColor="hyperlink"/>
            <w:sz w:val="18"/>
            <w:u w:val="single"/>
          </w:rPr>
          <w:t>www.home.co.uk</w:t>
        </w:r>
      </w:hyperlink>
      <w:r w:rsidRPr="007440C5">
        <w:rPr>
          <w:i/>
          <w:sz w:val="18"/>
        </w:rPr>
        <w:t xml:space="preserve"> 2014</w:t>
      </w:r>
      <w:r w:rsidRPr="007440C5">
        <w:rPr>
          <w:sz w:val="18"/>
        </w:rPr>
        <w:t>)</w:t>
      </w:r>
    </w:p>
    <w:p w:rsidR="007440C5" w:rsidRPr="007440C5" w:rsidRDefault="007440C5" w:rsidP="007440C5">
      <w:pPr>
        <w:spacing w:before="120" w:after="0"/>
        <w:ind w:left="720"/>
      </w:pPr>
      <w:proofErr w:type="gramStart"/>
      <w:r w:rsidRPr="007440C5">
        <w:t>Table 5 shows that the average entry level house price in the areas closest to the campuses was just over £76,000, compared to the average for Bradford of almost £86,000.</w:t>
      </w:r>
      <w:proofErr w:type="gramEnd"/>
      <w:r w:rsidRPr="007440C5">
        <w:t xml:space="preserve"> House prices in areas closest to the University and the College tended to be lower than the city average, except in the city centre and parts of Heaton and </w:t>
      </w:r>
      <w:proofErr w:type="spellStart"/>
      <w:r w:rsidRPr="007440C5">
        <w:t>Frizinghall</w:t>
      </w:r>
      <w:proofErr w:type="spellEnd"/>
      <w:r w:rsidRPr="007440C5">
        <w:t xml:space="preserve">. </w:t>
      </w:r>
      <w:proofErr w:type="gramStart"/>
      <w:r w:rsidRPr="007440C5">
        <w:t>That prices</w:t>
      </w:r>
      <w:proofErr w:type="gramEnd"/>
      <w:r w:rsidRPr="007440C5">
        <w:t xml:space="preserve"> are lower than average could make them both affordable and attractive to potential first-time buyers. This, again, is in contrast to the situation in Nottingham and Leeds where prices in areas with high student populations were higher, sometimes considerably higher, than the city averages.</w:t>
      </w:r>
    </w:p>
    <w:p w:rsidR="007440C5" w:rsidRPr="007440C5" w:rsidRDefault="007440C5" w:rsidP="007440C5">
      <w:pPr>
        <w:spacing w:before="120" w:after="0"/>
        <w:ind w:left="720"/>
        <w:rPr>
          <w:sz w:val="18"/>
        </w:rPr>
      </w:pPr>
      <w:r w:rsidRPr="007440C5">
        <w:t xml:space="preserve">Table 6 below shows that house prices on average reduced in </w:t>
      </w:r>
      <w:proofErr w:type="gramStart"/>
      <w:r w:rsidRPr="007440C5">
        <w:t>Bradford,</w:t>
      </w:r>
      <w:proofErr w:type="gramEnd"/>
      <w:r w:rsidRPr="007440C5">
        <w:t xml:space="preserve"> and in those areas with higher than average student populations.  This operates as a double-edged sword. While reducing prices help make properties more affordable, the trend in price reduction can act as a barrier to demand affecting confidence in those areas as places with the prospect of affluence</w:t>
      </w:r>
      <w:r w:rsidRPr="007440C5">
        <w:rPr>
          <w:sz w:val="18"/>
        </w:rPr>
        <w:t>.</w:t>
      </w:r>
    </w:p>
    <w:p w:rsidR="007440C5" w:rsidRPr="007440C5" w:rsidRDefault="007440C5" w:rsidP="007440C5">
      <w:pPr>
        <w:rPr>
          <w:i/>
        </w:rPr>
      </w:pPr>
      <w:r w:rsidRPr="007440C5">
        <w:rPr>
          <w:i/>
        </w:rPr>
        <w:br w:type="page"/>
      </w:r>
    </w:p>
    <w:p w:rsidR="007440C5" w:rsidRPr="007440C5" w:rsidRDefault="007440C5" w:rsidP="00EE5EB2">
      <w:pPr>
        <w:tabs>
          <w:tab w:val="left" w:pos="1701"/>
        </w:tabs>
        <w:spacing w:before="120" w:after="100" w:afterAutospacing="1"/>
        <w:ind w:left="720"/>
        <w:rPr>
          <w:i/>
        </w:rPr>
      </w:pPr>
      <w:r w:rsidRPr="007440C5">
        <w:rPr>
          <w:i/>
        </w:rPr>
        <w:lastRenderedPageBreak/>
        <w:t>Table 6:</w:t>
      </w:r>
      <w:r w:rsidR="002E6727">
        <w:rPr>
          <w:i/>
        </w:rPr>
        <w:tab/>
      </w:r>
      <w:r w:rsidRPr="007440C5">
        <w:rPr>
          <w:i/>
        </w:rPr>
        <w:t xml:space="preserve">Movements in house prices between 2009 and 2014 for different property types in areas </w:t>
      </w:r>
      <w:r w:rsidR="002E6727">
        <w:rPr>
          <w:i/>
        </w:rPr>
        <w:tab/>
      </w:r>
      <w:r w:rsidRPr="007440C5">
        <w:rPr>
          <w:i/>
        </w:rPr>
        <w:t>with highest student residence</w:t>
      </w:r>
    </w:p>
    <w:tbl>
      <w:tblPr>
        <w:tblW w:w="8930"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119"/>
        <w:gridCol w:w="992"/>
        <w:gridCol w:w="850"/>
        <w:gridCol w:w="993"/>
        <w:gridCol w:w="992"/>
        <w:gridCol w:w="992"/>
        <w:gridCol w:w="992"/>
      </w:tblGrid>
      <w:tr w:rsidR="007440C5" w:rsidRPr="007440C5" w:rsidTr="00BB288F">
        <w:trPr>
          <w:trHeight w:val="300"/>
        </w:trPr>
        <w:tc>
          <w:tcPr>
            <w:tcW w:w="3119" w:type="dxa"/>
            <w:shd w:val="clear" w:color="auto" w:fill="auto"/>
            <w:noWrap/>
            <w:vAlign w:val="bottom"/>
            <w:hideMark/>
          </w:tcPr>
          <w:p w:rsidR="007440C5" w:rsidRPr="007440C5" w:rsidRDefault="0091551D" w:rsidP="007440C5">
            <w:pPr>
              <w:spacing w:after="0" w:line="240" w:lineRule="auto"/>
              <w:rPr>
                <w:rFonts w:ascii="Calibri" w:eastAsia="Times New Roman" w:hAnsi="Calibri" w:cs="Times New Roman"/>
                <w:b/>
                <w:bCs/>
                <w:sz w:val="18"/>
                <w:szCs w:val="18"/>
                <w:lang w:eastAsia="en-GB"/>
              </w:rPr>
            </w:pPr>
            <w:r>
              <w:rPr>
                <w:rFonts w:ascii="Calibri" w:eastAsia="Times New Roman" w:hAnsi="Calibri" w:cs="Times New Roman"/>
                <w:b/>
                <w:bCs/>
                <w:sz w:val="18"/>
                <w:szCs w:val="18"/>
                <w:lang w:eastAsia="en-GB"/>
              </w:rPr>
              <w:t>Difference 2009-</w:t>
            </w:r>
            <w:r w:rsidR="007440C5" w:rsidRPr="007440C5">
              <w:rPr>
                <w:rFonts w:ascii="Calibri" w:eastAsia="Times New Roman" w:hAnsi="Calibri" w:cs="Times New Roman"/>
                <w:b/>
                <w:bCs/>
                <w:sz w:val="18"/>
                <w:szCs w:val="18"/>
                <w:lang w:eastAsia="en-GB"/>
              </w:rPr>
              <w:t>14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 bed</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2 bed</w:t>
            </w:r>
          </w:p>
        </w:tc>
        <w:tc>
          <w:tcPr>
            <w:tcW w:w="993" w:type="dxa"/>
            <w:shd w:val="clear" w:color="auto" w:fill="auto"/>
            <w:noWrap/>
            <w:vAlign w:val="bottom"/>
            <w:hideMark/>
          </w:tcPr>
          <w:p w:rsidR="007440C5" w:rsidRPr="007440C5" w:rsidRDefault="0091551D" w:rsidP="007440C5">
            <w:pPr>
              <w:spacing w:after="0" w:line="240" w:lineRule="auto"/>
              <w:jc w:val="center"/>
              <w:rPr>
                <w:rFonts w:ascii="Calibri" w:eastAsia="Times New Roman" w:hAnsi="Calibri" w:cs="Times New Roman"/>
                <w:b/>
                <w:bCs/>
                <w:sz w:val="18"/>
                <w:szCs w:val="18"/>
                <w:lang w:eastAsia="en-GB"/>
              </w:rPr>
            </w:pPr>
            <w:r>
              <w:rPr>
                <w:rFonts w:ascii="Calibri" w:eastAsia="Times New Roman" w:hAnsi="Calibri" w:cs="Times New Roman"/>
                <w:b/>
                <w:bCs/>
                <w:sz w:val="18"/>
                <w:szCs w:val="18"/>
                <w:lang w:eastAsia="en-GB"/>
              </w:rPr>
              <w:t>Entry l</w:t>
            </w:r>
            <w:r w:rsidR="007440C5" w:rsidRPr="007440C5">
              <w:rPr>
                <w:rFonts w:ascii="Calibri" w:eastAsia="Times New Roman" w:hAnsi="Calibri" w:cs="Times New Roman"/>
                <w:b/>
                <w:bCs/>
                <w:sz w:val="18"/>
                <w:szCs w:val="18"/>
                <w:lang w:eastAsia="en-GB"/>
              </w:rPr>
              <w:t>evel</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3 bed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4+ bed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ALL</w:t>
            </w:r>
          </w:p>
        </w:tc>
      </w:tr>
      <w:tr w:rsidR="007440C5" w:rsidRPr="007440C5" w:rsidTr="00BB288F">
        <w:trPr>
          <w:trHeight w:val="300"/>
        </w:trPr>
        <w:tc>
          <w:tcPr>
            <w:tcW w:w="8930" w:type="dxa"/>
            <w:gridSpan w:val="7"/>
            <w:shd w:val="clear" w:color="auto" w:fill="auto"/>
            <w:noWrap/>
            <w:vAlign w:val="center"/>
          </w:tcPr>
          <w:p w:rsidR="007440C5" w:rsidRPr="007440C5" w:rsidRDefault="007440C5" w:rsidP="007440C5">
            <w:pPr>
              <w:spacing w:after="0" w:line="240" w:lineRule="auto"/>
              <w:rPr>
                <w:rFonts w:ascii="Calibri" w:eastAsia="Times New Roman" w:hAnsi="Calibri" w:cs="Times New Roman"/>
                <w:b/>
                <w:bCs/>
                <w:sz w:val="18"/>
                <w:szCs w:val="18"/>
                <w:lang w:eastAsia="en-GB"/>
              </w:rPr>
            </w:pPr>
            <w:r w:rsidRPr="007440C5">
              <w:rPr>
                <w:rFonts w:eastAsia="Times New Roman" w:cs="Times New Roman"/>
                <w:b/>
                <w:bCs/>
                <w:color w:val="000000"/>
                <w:sz w:val="20"/>
                <w:szCs w:val="20"/>
                <w:lang w:eastAsia="en-GB"/>
              </w:rPr>
              <w:t>Areas within 2 miles of the University/College campus</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Shearbridge</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Lidgett</w:t>
            </w:r>
            <w:proofErr w:type="spellEnd"/>
            <w:r w:rsidRPr="007440C5">
              <w:rPr>
                <w:rFonts w:eastAsia="Times New Roman" w:cs="Times New Roman"/>
                <w:color w:val="000000"/>
                <w:sz w:val="18"/>
                <w:szCs w:val="20"/>
                <w:lang w:eastAsia="en-GB"/>
              </w:rPr>
              <w:t xml:space="preserve"> Green</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-18.3%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-6.3%</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-11.0%</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-9.9%</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-14.7%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-3.8%</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City Centre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-5.1%</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-5.6%</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-38.0%</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-3.8%</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Little Horton, West Bowling</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-7.2%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-13.1%</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-10.8%</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-11.4%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-10.3%</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r w:rsidRPr="007440C5">
              <w:rPr>
                <w:rFonts w:eastAsia="Times New Roman" w:cs="Times New Roman"/>
                <w:color w:val="000000"/>
                <w:sz w:val="18"/>
                <w:szCs w:val="20"/>
                <w:lang w:eastAsia="en-GB"/>
              </w:rPr>
              <w:t xml:space="preserve">Heaton, </w:t>
            </w:r>
            <w:proofErr w:type="spellStart"/>
            <w:r w:rsidRPr="007440C5">
              <w:rPr>
                <w:rFonts w:eastAsia="Times New Roman" w:cs="Times New Roman"/>
                <w:color w:val="000000"/>
                <w:sz w:val="18"/>
                <w:szCs w:val="20"/>
                <w:lang w:eastAsia="en-GB"/>
              </w:rPr>
              <w:t>Frizinghall</w:t>
            </w:r>
            <w:proofErr w:type="spellEnd"/>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-7.4%</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-6.2%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-5.9%</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-7.0%</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i/>
                <w:color w:val="000000"/>
                <w:sz w:val="18"/>
                <w:szCs w:val="20"/>
                <w:lang w:eastAsia="en-GB"/>
              </w:rPr>
            </w:pPr>
            <w:r w:rsidRPr="007440C5">
              <w:rPr>
                <w:rFonts w:eastAsia="Times New Roman" w:cs="Times New Roman"/>
                <w:i/>
                <w:color w:val="000000"/>
                <w:sz w:val="18"/>
                <w:szCs w:val="20"/>
                <w:lang w:eastAsia="en-GB"/>
              </w:rPr>
              <w:t>Average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-7.7%</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-8.1%</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-19.7%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-6.3%</w:t>
            </w:r>
          </w:p>
        </w:tc>
      </w:tr>
      <w:tr w:rsidR="007440C5" w:rsidRPr="007440C5" w:rsidTr="00BB288F">
        <w:trPr>
          <w:trHeight w:val="300"/>
        </w:trPr>
        <w:tc>
          <w:tcPr>
            <w:tcW w:w="8930" w:type="dxa"/>
            <w:gridSpan w:val="7"/>
            <w:shd w:val="clear" w:color="auto" w:fill="auto"/>
            <w:noWrap/>
            <w:vAlign w:val="center"/>
          </w:tcPr>
          <w:p w:rsidR="007440C5" w:rsidRPr="007440C5" w:rsidRDefault="002E6727" w:rsidP="002E6727">
            <w:pPr>
              <w:spacing w:after="0" w:line="240" w:lineRule="auto"/>
              <w:rPr>
                <w:rFonts w:ascii="Calibri" w:eastAsia="Times New Roman" w:hAnsi="Calibri" w:cs="Times New Roman"/>
                <w:b/>
                <w:bCs/>
                <w:sz w:val="18"/>
                <w:szCs w:val="18"/>
                <w:lang w:eastAsia="en-GB"/>
              </w:rPr>
            </w:pPr>
            <w:r>
              <w:rPr>
                <w:rFonts w:eastAsia="Times New Roman" w:cs="Times New Roman"/>
                <w:b/>
                <w:bCs/>
                <w:color w:val="000000"/>
                <w:sz w:val="20"/>
                <w:szCs w:val="20"/>
                <w:lang w:eastAsia="en-GB"/>
              </w:rPr>
              <w:t>Areas within 2</w:t>
            </w:r>
            <w:r w:rsidR="007440C5" w:rsidRPr="007440C5">
              <w:rPr>
                <w:rFonts w:eastAsia="Times New Roman" w:cs="Times New Roman"/>
                <w:b/>
                <w:bCs/>
                <w:color w:val="000000"/>
                <w:sz w:val="20"/>
                <w:szCs w:val="20"/>
                <w:lang w:eastAsia="en-GB"/>
              </w:rPr>
              <w:t>-3 miles of the University/College campuses</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Manningham</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Girlington</w:t>
            </w:r>
            <w:proofErr w:type="spellEnd"/>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-11.3%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-21.6%</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-17.7%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-19.2%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-3.5%</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-8.8%</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Eccleshill</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Fagley</w:t>
            </w:r>
            <w:proofErr w:type="spellEnd"/>
            <w:r w:rsidRPr="007440C5">
              <w:rPr>
                <w:rFonts w:eastAsia="Times New Roman" w:cs="Times New Roman"/>
                <w:color w:val="000000"/>
                <w:sz w:val="18"/>
                <w:szCs w:val="20"/>
                <w:lang w:eastAsia="en-GB"/>
              </w:rPr>
              <w:t>, Five Lane Ends</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-8.5%</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-6.4%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-6.3%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9.7%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1.0%</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Barkerend</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Laisterdyke</w:t>
            </w:r>
            <w:proofErr w:type="spellEnd"/>
            <w:r w:rsidRPr="007440C5">
              <w:rPr>
                <w:rFonts w:eastAsia="Times New Roman" w:cs="Times New Roman"/>
                <w:color w:val="000000"/>
                <w:sz w:val="18"/>
                <w:szCs w:val="20"/>
                <w:lang w:eastAsia="en-GB"/>
              </w:rPr>
              <w:t>, Bradford Moor</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-10.6%</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-16.6%</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-8.7%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-10.0%</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-5.5%</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color w:val="000000"/>
                <w:sz w:val="18"/>
                <w:szCs w:val="20"/>
                <w:lang w:eastAsia="en-GB"/>
              </w:rPr>
            </w:pPr>
            <w:proofErr w:type="spellStart"/>
            <w:r w:rsidRPr="007440C5">
              <w:rPr>
                <w:rFonts w:eastAsia="Times New Roman" w:cs="Times New Roman"/>
                <w:color w:val="000000"/>
                <w:sz w:val="18"/>
                <w:szCs w:val="20"/>
                <w:lang w:eastAsia="en-GB"/>
              </w:rPr>
              <w:t>Holmewood</w:t>
            </w:r>
            <w:proofErr w:type="spellEnd"/>
            <w:r w:rsidRPr="007440C5">
              <w:rPr>
                <w:rFonts w:eastAsia="Times New Roman" w:cs="Times New Roman"/>
                <w:color w:val="000000"/>
                <w:sz w:val="18"/>
                <w:szCs w:val="20"/>
                <w:lang w:eastAsia="en-GB"/>
              </w:rPr>
              <w:t xml:space="preserve">, </w:t>
            </w:r>
            <w:proofErr w:type="spellStart"/>
            <w:r w:rsidRPr="007440C5">
              <w:rPr>
                <w:rFonts w:eastAsia="Times New Roman" w:cs="Times New Roman"/>
                <w:color w:val="000000"/>
                <w:sz w:val="18"/>
                <w:szCs w:val="20"/>
                <w:lang w:eastAsia="en-GB"/>
              </w:rPr>
              <w:t>Tyersal</w:t>
            </w:r>
            <w:proofErr w:type="spellEnd"/>
            <w:r w:rsidRPr="007440C5">
              <w:rPr>
                <w:rFonts w:eastAsia="Times New Roman" w:cs="Times New Roman"/>
                <w:color w:val="000000"/>
                <w:sz w:val="18"/>
                <w:szCs w:val="20"/>
                <w:lang w:eastAsia="en-GB"/>
              </w:rPr>
              <w:t xml:space="preserve"> East Bowling</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-15.9%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-21.1%</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-19.0%</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1.5%</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-24.7%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-0.1%</w:t>
            </w:r>
          </w:p>
        </w:tc>
      </w:tr>
      <w:tr w:rsidR="007440C5" w:rsidRPr="007440C5" w:rsidTr="00BB288F">
        <w:trPr>
          <w:trHeight w:val="300"/>
        </w:trPr>
        <w:tc>
          <w:tcPr>
            <w:tcW w:w="3119" w:type="dxa"/>
            <w:shd w:val="clear" w:color="auto" w:fill="auto"/>
            <w:noWrap/>
            <w:vAlign w:val="center"/>
            <w:hideMark/>
          </w:tcPr>
          <w:p w:rsidR="007440C5" w:rsidRPr="007440C5" w:rsidRDefault="007440C5" w:rsidP="007440C5">
            <w:pPr>
              <w:spacing w:after="0" w:line="240" w:lineRule="auto"/>
              <w:rPr>
                <w:rFonts w:eastAsia="Times New Roman" w:cs="Times New Roman"/>
                <w:i/>
                <w:color w:val="000000"/>
                <w:sz w:val="18"/>
                <w:szCs w:val="20"/>
                <w:lang w:eastAsia="en-GB"/>
              </w:rPr>
            </w:pPr>
            <w:r w:rsidRPr="007440C5">
              <w:rPr>
                <w:rFonts w:eastAsia="Times New Roman" w:cs="Times New Roman"/>
                <w:i/>
                <w:color w:val="000000"/>
                <w:sz w:val="18"/>
                <w:szCs w:val="20"/>
                <w:lang w:eastAsia="en-GB"/>
              </w:rPr>
              <w:t>Average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-13.7%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-15.4%</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-14.7%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-3.2%</w:t>
            </w:r>
          </w:p>
        </w:tc>
      </w:tr>
      <w:tr w:rsidR="007440C5" w:rsidRPr="007440C5" w:rsidTr="00BB288F">
        <w:trPr>
          <w:trHeight w:val="300"/>
        </w:trPr>
        <w:tc>
          <w:tcPr>
            <w:tcW w:w="3119" w:type="dxa"/>
            <w:tcBorders>
              <w:top w:val="single" w:sz="6" w:space="0" w:color="auto"/>
              <w:left w:val="single" w:sz="8" w:space="0" w:color="auto"/>
              <w:bottom w:val="single" w:sz="8" w:space="0" w:color="auto"/>
              <w:right w:val="single" w:sz="6" w:space="0" w:color="auto"/>
            </w:tcBorders>
            <w:shd w:val="clear" w:color="auto" w:fill="auto"/>
            <w:noWrap/>
            <w:vAlign w:val="center"/>
          </w:tcPr>
          <w:p w:rsidR="007440C5" w:rsidRPr="007440C5" w:rsidRDefault="007440C5" w:rsidP="007440C5">
            <w:pPr>
              <w:spacing w:after="0" w:line="240" w:lineRule="auto"/>
              <w:rPr>
                <w:rFonts w:eastAsia="Times New Roman" w:cs="Times New Roman"/>
                <w:b/>
                <w:bCs/>
                <w:color w:val="000000"/>
                <w:sz w:val="18"/>
                <w:szCs w:val="20"/>
                <w:lang w:eastAsia="en-GB"/>
              </w:rPr>
            </w:pPr>
            <w:r w:rsidRPr="007440C5">
              <w:rPr>
                <w:rFonts w:eastAsia="Times New Roman" w:cs="Times New Roman"/>
                <w:b/>
                <w:bCs/>
                <w:color w:val="000000"/>
                <w:sz w:val="18"/>
                <w:szCs w:val="20"/>
                <w:lang w:eastAsia="en-GB"/>
              </w:rPr>
              <w:t>BRADFORD AVERAGE</w:t>
            </w:r>
          </w:p>
        </w:tc>
        <w:tc>
          <w:tcPr>
            <w:tcW w:w="992" w:type="dxa"/>
            <w:tcBorders>
              <w:top w:val="single" w:sz="6" w:space="0" w:color="auto"/>
              <w:left w:val="single" w:sz="6" w:space="0" w:color="auto"/>
              <w:bottom w:val="single" w:sz="8" w:space="0" w:color="auto"/>
              <w:right w:val="single" w:sz="6"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-17.0%</w:t>
            </w:r>
          </w:p>
        </w:tc>
        <w:tc>
          <w:tcPr>
            <w:tcW w:w="850" w:type="dxa"/>
            <w:tcBorders>
              <w:top w:val="single" w:sz="6" w:space="0" w:color="auto"/>
              <w:left w:val="single" w:sz="6" w:space="0" w:color="auto"/>
              <w:bottom w:val="single" w:sz="8" w:space="0" w:color="auto"/>
              <w:right w:val="single" w:sz="6"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-12.7%</w:t>
            </w:r>
          </w:p>
        </w:tc>
        <w:tc>
          <w:tcPr>
            <w:tcW w:w="993" w:type="dxa"/>
            <w:tcBorders>
              <w:top w:val="single" w:sz="6" w:space="0" w:color="auto"/>
              <w:left w:val="single" w:sz="6" w:space="0" w:color="auto"/>
              <w:bottom w:val="single" w:sz="8" w:space="0" w:color="auto"/>
              <w:right w:val="single" w:sz="6"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i/>
                <w:iCs/>
                <w:sz w:val="18"/>
                <w:szCs w:val="18"/>
                <w:lang w:eastAsia="en-GB"/>
              </w:rPr>
            </w:pPr>
            <w:r w:rsidRPr="007440C5">
              <w:rPr>
                <w:rFonts w:ascii="Calibri" w:eastAsia="Times New Roman" w:hAnsi="Calibri" w:cs="Times New Roman"/>
                <w:b/>
                <w:bCs/>
                <w:i/>
                <w:iCs/>
                <w:sz w:val="18"/>
                <w:szCs w:val="18"/>
                <w:lang w:eastAsia="en-GB"/>
              </w:rPr>
              <w:t>-14.6%</w:t>
            </w:r>
          </w:p>
        </w:tc>
        <w:tc>
          <w:tcPr>
            <w:tcW w:w="992" w:type="dxa"/>
            <w:tcBorders>
              <w:top w:val="single" w:sz="6" w:space="0" w:color="auto"/>
              <w:left w:val="single" w:sz="6" w:space="0" w:color="auto"/>
              <w:bottom w:val="single" w:sz="8" w:space="0" w:color="auto"/>
              <w:right w:val="single" w:sz="6"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-7.1%</w:t>
            </w:r>
          </w:p>
        </w:tc>
        <w:tc>
          <w:tcPr>
            <w:tcW w:w="992" w:type="dxa"/>
            <w:tcBorders>
              <w:top w:val="single" w:sz="6" w:space="0" w:color="auto"/>
              <w:left w:val="single" w:sz="6" w:space="0" w:color="auto"/>
              <w:bottom w:val="single" w:sz="8" w:space="0" w:color="auto"/>
              <w:right w:val="single" w:sz="6"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-8.3%</w:t>
            </w:r>
          </w:p>
        </w:tc>
        <w:tc>
          <w:tcPr>
            <w:tcW w:w="992" w:type="dxa"/>
            <w:tcBorders>
              <w:top w:val="single" w:sz="6" w:space="0" w:color="auto"/>
              <w:left w:val="single" w:sz="6" w:space="0" w:color="auto"/>
              <w:bottom w:val="single" w:sz="8" w:space="0" w:color="auto"/>
              <w:right w:val="single" w:sz="8" w:space="0" w:color="auto"/>
            </w:tcBorders>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-5.6%</w:t>
            </w:r>
          </w:p>
        </w:tc>
      </w:tr>
    </w:tbl>
    <w:p w:rsidR="007440C5" w:rsidRPr="007440C5" w:rsidRDefault="007440C5" w:rsidP="007440C5">
      <w:pPr>
        <w:spacing w:before="120" w:after="0"/>
        <w:ind w:firstLine="720"/>
        <w:rPr>
          <w:sz w:val="18"/>
        </w:rPr>
      </w:pPr>
      <w:r w:rsidRPr="007440C5">
        <w:rPr>
          <w:sz w:val="18"/>
        </w:rPr>
        <w:t>(</w:t>
      </w:r>
      <w:r w:rsidRPr="007440C5">
        <w:rPr>
          <w:i/>
          <w:sz w:val="18"/>
        </w:rPr>
        <w:t xml:space="preserve">Source:  </w:t>
      </w:r>
      <w:hyperlink r:id="rId10" w:history="1">
        <w:r w:rsidRPr="007440C5">
          <w:rPr>
            <w:i/>
            <w:color w:val="0000FF" w:themeColor="hyperlink"/>
            <w:sz w:val="18"/>
            <w:u w:val="single"/>
          </w:rPr>
          <w:t>www.home.co.uk</w:t>
        </w:r>
      </w:hyperlink>
      <w:r w:rsidRPr="007440C5">
        <w:rPr>
          <w:i/>
          <w:sz w:val="18"/>
        </w:rPr>
        <w:t xml:space="preserve"> 2014</w:t>
      </w:r>
      <w:r w:rsidRPr="007440C5">
        <w:rPr>
          <w:sz w:val="18"/>
        </w:rPr>
        <w:t>)</w:t>
      </w:r>
    </w:p>
    <w:p w:rsidR="007440C5" w:rsidRPr="007440C5" w:rsidRDefault="007440C5" w:rsidP="007440C5">
      <w:pPr>
        <w:spacing w:before="120" w:after="0"/>
        <w:ind w:left="720"/>
      </w:pPr>
      <w:r w:rsidRPr="007440C5">
        <w:t>Table 7 below shows the annual income needed to afford different property types in the areas of highest student residence. It shows that for entry level properties (one</w:t>
      </w:r>
      <w:r w:rsidR="0091551D">
        <w:t>-</w:t>
      </w:r>
      <w:r w:rsidRPr="007440C5">
        <w:t xml:space="preserve"> or two</w:t>
      </w:r>
      <w:r w:rsidR="0091551D">
        <w:t>-</w:t>
      </w:r>
      <w:r w:rsidRPr="007440C5">
        <w:t>bed</w:t>
      </w:r>
      <w:r w:rsidR="0091551D">
        <w:t>)</w:t>
      </w:r>
      <w:r w:rsidRPr="007440C5">
        <w:t xml:space="preserve"> an average single income of almost £22,000 (around the average income level for Bradford) or a household income of £26,300 (the equivalent of one full-time and one part-time income of £15,000 per year)  would be needed to afford mortgage repayments.  A higher income could be required with the more restrictive and cautious lending practices introduced in April 2014.</w:t>
      </w:r>
    </w:p>
    <w:p w:rsidR="007440C5" w:rsidRPr="007440C5" w:rsidRDefault="007440C5" w:rsidP="00EE5EB2">
      <w:pPr>
        <w:tabs>
          <w:tab w:val="left" w:pos="1701"/>
        </w:tabs>
        <w:spacing w:before="120" w:after="100" w:afterAutospacing="1"/>
        <w:ind w:left="720"/>
        <w:rPr>
          <w:i/>
        </w:rPr>
      </w:pPr>
      <w:r w:rsidRPr="007440C5">
        <w:rPr>
          <w:i/>
        </w:rPr>
        <w:t>Table</w:t>
      </w:r>
      <w:r w:rsidR="002E6727">
        <w:rPr>
          <w:i/>
        </w:rPr>
        <w:t xml:space="preserve"> </w:t>
      </w:r>
      <w:r w:rsidRPr="007440C5">
        <w:rPr>
          <w:i/>
        </w:rPr>
        <w:t>7:</w:t>
      </w:r>
      <w:r w:rsidR="002E6727">
        <w:rPr>
          <w:i/>
        </w:rPr>
        <w:tab/>
      </w:r>
      <w:r w:rsidRPr="007440C5">
        <w:rPr>
          <w:i/>
        </w:rPr>
        <w:t xml:space="preserve">Annual income needed to afford entry level house prices in areas with highest student </w:t>
      </w:r>
      <w:r w:rsidR="002E6727">
        <w:rPr>
          <w:i/>
        </w:rPr>
        <w:tab/>
      </w:r>
      <w:r w:rsidRPr="007440C5">
        <w:rPr>
          <w:i/>
        </w:rPr>
        <w:t>residence</w:t>
      </w:r>
    </w:p>
    <w:tbl>
      <w:tblPr>
        <w:tblW w:w="8789"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977"/>
        <w:gridCol w:w="1134"/>
        <w:gridCol w:w="1134"/>
        <w:gridCol w:w="1276"/>
        <w:gridCol w:w="1134"/>
        <w:gridCol w:w="1134"/>
      </w:tblGrid>
      <w:tr w:rsidR="007440C5" w:rsidRPr="007440C5" w:rsidTr="00BB288F">
        <w:trPr>
          <w:trHeight w:val="192"/>
        </w:trPr>
        <w:tc>
          <w:tcPr>
            <w:tcW w:w="297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 bed</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 bed</w:t>
            </w:r>
          </w:p>
        </w:tc>
        <w:tc>
          <w:tcPr>
            <w:tcW w:w="1276" w:type="dxa"/>
            <w:shd w:val="clear" w:color="auto" w:fill="auto"/>
            <w:vAlign w:val="bottom"/>
            <w:hideMark/>
          </w:tcPr>
          <w:p w:rsidR="007440C5" w:rsidRPr="007440C5" w:rsidRDefault="0091551D" w:rsidP="007440C5">
            <w:pPr>
              <w:spacing w:after="0" w:line="240" w:lineRule="auto"/>
              <w:jc w:val="center"/>
              <w:rPr>
                <w:rFonts w:ascii="Calibri" w:eastAsia="Times New Roman" w:hAnsi="Calibri" w:cs="Times New Roman"/>
                <w:b/>
                <w:bCs/>
                <w:color w:val="000000"/>
                <w:sz w:val="20"/>
                <w:lang w:eastAsia="en-GB"/>
              </w:rPr>
            </w:pPr>
            <w:r>
              <w:rPr>
                <w:rFonts w:ascii="Calibri" w:eastAsia="Times New Roman" w:hAnsi="Calibri" w:cs="Times New Roman"/>
                <w:b/>
                <w:bCs/>
                <w:color w:val="000000"/>
                <w:sz w:val="20"/>
                <w:lang w:eastAsia="en-GB"/>
              </w:rPr>
              <w:t>Entry l</w:t>
            </w:r>
            <w:r w:rsidR="007440C5" w:rsidRPr="007440C5">
              <w:rPr>
                <w:rFonts w:ascii="Calibri" w:eastAsia="Times New Roman" w:hAnsi="Calibri" w:cs="Times New Roman"/>
                <w:b/>
                <w:bCs/>
                <w:color w:val="000000"/>
                <w:sz w:val="20"/>
                <w:lang w:eastAsia="en-GB"/>
              </w:rPr>
              <w:t>evel</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 bed</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 bed</w:t>
            </w:r>
          </w:p>
        </w:tc>
      </w:tr>
      <w:tr w:rsidR="007440C5" w:rsidRPr="007440C5" w:rsidTr="00BB288F">
        <w:trPr>
          <w:trHeight w:val="300"/>
        </w:trPr>
        <w:tc>
          <w:tcPr>
            <w:tcW w:w="2977" w:type="dxa"/>
            <w:shd w:val="clear" w:color="auto" w:fill="auto"/>
            <w:noWrap/>
            <w:vAlign w:val="bottom"/>
            <w:hideMark/>
          </w:tcPr>
          <w:p w:rsidR="007440C5" w:rsidRPr="007440C5" w:rsidRDefault="002E6727" w:rsidP="007440C5">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Single i</w:t>
            </w:r>
            <w:r w:rsidR="007440C5" w:rsidRPr="007440C5">
              <w:rPr>
                <w:rFonts w:ascii="Calibri" w:eastAsia="Times New Roman" w:hAnsi="Calibri" w:cs="Times New Roman"/>
                <w:color w:val="000000"/>
                <w:sz w:val="20"/>
                <w:lang w:eastAsia="en-GB"/>
              </w:rPr>
              <w:t>ncome</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£18,497</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£25,091</w:t>
            </w:r>
          </w:p>
        </w:tc>
        <w:tc>
          <w:tcPr>
            <w:tcW w:w="1276"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£21,794</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£36,938</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£57,257</w:t>
            </w:r>
          </w:p>
        </w:tc>
      </w:tr>
      <w:tr w:rsidR="007440C5" w:rsidRPr="007440C5" w:rsidTr="00BB288F">
        <w:trPr>
          <w:trHeight w:val="300"/>
        </w:trPr>
        <w:tc>
          <w:tcPr>
            <w:tcW w:w="2977" w:type="dxa"/>
            <w:shd w:val="clear" w:color="auto" w:fill="auto"/>
            <w:noWrap/>
            <w:vAlign w:val="bottom"/>
            <w:hideMark/>
          </w:tcPr>
          <w:p w:rsidR="007440C5" w:rsidRPr="007440C5" w:rsidRDefault="002E6727" w:rsidP="007440C5">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Joint i</w:t>
            </w:r>
            <w:r w:rsidR="007440C5" w:rsidRPr="007440C5">
              <w:rPr>
                <w:rFonts w:ascii="Calibri" w:eastAsia="Times New Roman" w:hAnsi="Calibri" w:cs="Times New Roman"/>
                <w:color w:val="000000"/>
                <w:sz w:val="20"/>
                <w:lang w:eastAsia="en-GB"/>
              </w:rPr>
              <w:t>ncome</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£22,324</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£30,283</w:t>
            </w:r>
          </w:p>
        </w:tc>
        <w:tc>
          <w:tcPr>
            <w:tcW w:w="1276"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£26,303</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£44,580</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£69,103</w:t>
            </w:r>
          </w:p>
        </w:tc>
      </w:tr>
    </w:tbl>
    <w:p w:rsidR="007440C5" w:rsidRPr="007440C5" w:rsidRDefault="007440C5" w:rsidP="007440C5">
      <w:pPr>
        <w:spacing w:before="120" w:after="0"/>
      </w:pPr>
      <w:r w:rsidRPr="007440C5">
        <w:tab/>
      </w:r>
      <w:r w:rsidRPr="007440C5">
        <w:rPr>
          <w:sz w:val="18"/>
        </w:rPr>
        <w:t>(</w:t>
      </w:r>
      <w:r w:rsidRPr="007440C5">
        <w:rPr>
          <w:i/>
          <w:sz w:val="18"/>
        </w:rPr>
        <w:t xml:space="preserve">Source:  </w:t>
      </w:r>
      <w:hyperlink r:id="rId11" w:history="1">
        <w:r w:rsidRPr="007440C5">
          <w:rPr>
            <w:i/>
            <w:color w:val="0000FF" w:themeColor="hyperlink"/>
            <w:sz w:val="18"/>
            <w:u w:val="single"/>
          </w:rPr>
          <w:t>www.home.co.uk</w:t>
        </w:r>
      </w:hyperlink>
      <w:r w:rsidR="0091551D">
        <w:rPr>
          <w:i/>
          <w:sz w:val="18"/>
        </w:rPr>
        <w:t xml:space="preserve"> 2014; </w:t>
      </w:r>
      <w:r w:rsidRPr="007440C5">
        <w:rPr>
          <w:i/>
          <w:sz w:val="18"/>
        </w:rPr>
        <w:t>Annual Survey of Hours and Earnings, Office for National Statistics 2013</w:t>
      </w:r>
      <w:r w:rsidRPr="007440C5">
        <w:rPr>
          <w:sz w:val="18"/>
        </w:rPr>
        <w:t>)</w:t>
      </w:r>
    </w:p>
    <w:p w:rsidR="007440C5" w:rsidRPr="007440C5" w:rsidRDefault="002E6727" w:rsidP="00EE5EB2">
      <w:pPr>
        <w:tabs>
          <w:tab w:val="left" w:pos="1701"/>
        </w:tabs>
        <w:spacing w:before="120" w:after="0"/>
        <w:ind w:left="720"/>
        <w:rPr>
          <w:i/>
        </w:rPr>
      </w:pPr>
      <w:r>
        <w:rPr>
          <w:i/>
        </w:rPr>
        <w:t xml:space="preserve">Table </w:t>
      </w:r>
      <w:r w:rsidR="007440C5" w:rsidRPr="007440C5">
        <w:rPr>
          <w:i/>
        </w:rPr>
        <w:t>8:</w:t>
      </w:r>
      <w:r>
        <w:rPr>
          <w:i/>
        </w:rPr>
        <w:tab/>
        <w:t xml:space="preserve">Level of deposit </w:t>
      </w:r>
      <w:r w:rsidR="007440C5" w:rsidRPr="007440C5">
        <w:rPr>
          <w:i/>
        </w:rPr>
        <w:t xml:space="preserve">needed to secure a mortgage for entry level house prices in areas with </w:t>
      </w:r>
      <w:r>
        <w:rPr>
          <w:i/>
        </w:rPr>
        <w:tab/>
      </w:r>
      <w:r w:rsidR="007440C5" w:rsidRPr="007440C5">
        <w:rPr>
          <w:i/>
        </w:rPr>
        <w:t>highest student residence</w:t>
      </w:r>
    </w:p>
    <w:tbl>
      <w:tblPr>
        <w:tblpPr w:leftFromText="180" w:rightFromText="180" w:vertAnchor="text" w:horzAnchor="margin" w:tblpXSpec="center" w:tblpY="178"/>
        <w:tblW w:w="82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836"/>
        <w:gridCol w:w="1134"/>
        <w:gridCol w:w="1134"/>
        <w:gridCol w:w="1251"/>
        <w:gridCol w:w="875"/>
        <w:gridCol w:w="998"/>
      </w:tblGrid>
      <w:tr w:rsidR="007440C5" w:rsidRPr="007440C5" w:rsidTr="00BB288F">
        <w:trPr>
          <w:trHeight w:val="300"/>
        </w:trPr>
        <w:tc>
          <w:tcPr>
            <w:tcW w:w="2836"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University area</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 bed</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 bed</w:t>
            </w:r>
          </w:p>
        </w:tc>
        <w:tc>
          <w:tcPr>
            <w:tcW w:w="1251" w:type="dxa"/>
            <w:shd w:val="clear" w:color="auto" w:fill="auto"/>
            <w:vAlign w:val="bottom"/>
            <w:hideMark/>
          </w:tcPr>
          <w:p w:rsidR="007440C5" w:rsidRPr="007440C5" w:rsidRDefault="002E6727" w:rsidP="007440C5">
            <w:pPr>
              <w:spacing w:after="0" w:line="240" w:lineRule="auto"/>
              <w:jc w:val="center"/>
              <w:rPr>
                <w:rFonts w:ascii="Calibri" w:eastAsia="Times New Roman" w:hAnsi="Calibri" w:cs="Times New Roman"/>
                <w:b/>
                <w:bCs/>
                <w:color w:val="000000"/>
                <w:sz w:val="20"/>
                <w:lang w:eastAsia="en-GB"/>
              </w:rPr>
            </w:pPr>
            <w:r>
              <w:rPr>
                <w:rFonts w:ascii="Calibri" w:eastAsia="Times New Roman" w:hAnsi="Calibri" w:cs="Times New Roman"/>
                <w:b/>
                <w:bCs/>
                <w:color w:val="000000"/>
                <w:sz w:val="20"/>
                <w:lang w:eastAsia="en-GB"/>
              </w:rPr>
              <w:t>Entry l</w:t>
            </w:r>
            <w:r w:rsidR="007440C5" w:rsidRPr="007440C5">
              <w:rPr>
                <w:rFonts w:ascii="Calibri" w:eastAsia="Times New Roman" w:hAnsi="Calibri" w:cs="Times New Roman"/>
                <w:b/>
                <w:bCs/>
                <w:color w:val="000000"/>
                <w:sz w:val="20"/>
                <w:lang w:eastAsia="en-GB"/>
              </w:rPr>
              <w:t>evel</w:t>
            </w:r>
          </w:p>
        </w:tc>
        <w:tc>
          <w:tcPr>
            <w:tcW w:w="875"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 bed</w:t>
            </w:r>
          </w:p>
        </w:tc>
        <w:tc>
          <w:tcPr>
            <w:tcW w:w="998"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 bed</w:t>
            </w:r>
          </w:p>
        </w:tc>
      </w:tr>
      <w:tr w:rsidR="007440C5" w:rsidRPr="007440C5" w:rsidTr="00BB288F">
        <w:trPr>
          <w:trHeight w:val="300"/>
        </w:trPr>
        <w:tc>
          <w:tcPr>
            <w:tcW w:w="2836" w:type="dxa"/>
            <w:shd w:val="clear" w:color="auto" w:fill="auto"/>
            <w:noWrap/>
            <w:vAlign w:val="bottom"/>
            <w:hideMark/>
          </w:tcPr>
          <w:p w:rsidR="007440C5" w:rsidRPr="007440C5" w:rsidRDefault="0091551D" w:rsidP="007440C5">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20% d</w:t>
            </w:r>
            <w:r w:rsidR="007440C5" w:rsidRPr="007440C5">
              <w:rPr>
                <w:rFonts w:ascii="Calibri" w:eastAsia="Times New Roman" w:hAnsi="Calibri" w:cs="Times New Roman"/>
                <w:color w:val="000000"/>
                <w:sz w:val="20"/>
                <w:lang w:eastAsia="en-GB"/>
              </w:rPr>
              <w:t>eposit</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£12,948</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£17,564</w:t>
            </w:r>
          </w:p>
        </w:tc>
        <w:tc>
          <w:tcPr>
            <w:tcW w:w="1251"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£15,256</w:t>
            </w:r>
          </w:p>
        </w:tc>
        <w:tc>
          <w:tcPr>
            <w:tcW w:w="875"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£25,857</w:t>
            </w:r>
          </w:p>
        </w:tc>
        <w:tc>
          <w:tcPr>
            <w:tcW w:w="998"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£40,080</w:t>
            </w:r>
          </w:p>
        </w:tc>
      </w:tr>
      <w:tr w:rsidR="007440C5" w:rsidRPr="007440C5" w:rsidTr="00BB288F">
        <w:trPr>
          <w:trHeight w:val="300"/>
        </w:trPr>
        <w:tc>
          <w:tcPr>
            <w:tcW w:w="2836" w:type="dxa"/>
            <w:shd w:val="clear" w:color="auto" w:fill="auto"/>
            <w:noWrap/>
            <w:vAlign w:val="bottom"/>
            <w:hideMark/>
          </w:tcPr>
          <w:p w:rsidR="007440C5" w:rsidRPr="007440C5" w:rsidRDefault="0091551D" w:rsidP="007440C5">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10% d</w:t>
            </w:r>
            <w:r w:rsidR="007440C5" w:rsidRPr="007440C5">
              <w:rPr>
                <w:rFonts w:ascii="Calibri" w:eastAsia="Times New Roman" w:hAnsi="Calibri" w:cs="Times New Roman"/>
                <w:color w:val="000000"/>
                <w:sz w:val="20"/>
                <w:lang w:eastAsia="en-GB"/>
              </w:rPr>
              <w:t>eposit</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£6,474</w:t>
            </w:r>
          </w:p>
        </w:tc>
        <w:tc>
          <w:tcPr>
            <w:tcW w:w="1134"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£8,782</w:t>
            </w:r>
          </w:p>
        </w:tc>
        <w:tc>
          <w:tcPr>
            <w:tcW w:w="1251"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£7,628</w:t>
            </w:r>
          </w:p>
        </w:tc>
        <w:tc>
          <w:tcPr>
            <w:tcW w:w="875"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£12,928</w:t>
            </w:r>
          </w:p>
        </w:tc>
        <w:tc>
          <w:tcPr>
            <w:tcW w:w="998" w:type="dxa"/>
            <w:shd w:val="clear" w:color="auto" w:fill="auto"/>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£20,040</w:t>
            </w:r>
          </w:p>
        </w:tc>
      </w:tr>
    </w:tbl>
    <w:p w:rsidR="007440C5" w:rsidRPr="007440C5" w:rsidRDefault="007440C5" w:rsidP="007440C5">
      <w:pPr>
        <w:spacing w:before="120" w:after="0"/>
        <w:ind w:left="720"/>
        <w:rPr>
          <w:i/>
        </w:rPr>
      </w:pPr>
    </w:p>
    <w:p w:rsidR="007440C5" w:rsidRPr="007440C5" w:rsidRDefault="007440C5" w:rsidP="007440C5">
      <w:pPr>
        <w:spacing w:before="120" w:after="0"/>
        <w:ind w:left="720"/>
        <w:rPr>
          <w:i/>
        </w:rPr>
      </w:pPr>
    </w:p>
    <w:p w:rsidR="007440C5" w:rsidRPr="007440C5" w:rsidRDefault="007440C5" w:rsidP="007440C5">
      <w:pPr>
        <w:spacing w:before="120" w:after="0"/>
        <w:rPr>
          <w:i/>
          <w:sz w:val="18"/>
        </w:rPr>
      </w:pPr>
    </w:p>
    <w:p w:rsidR="0091551D" w:rsidRDefault="007440C5" w:rsidP="0091551D">
      <w:pPr>
        <w:spacing w:before="120" w:after="0"/>
        <w:ind w:firstLine="720"/>
        <w:rPr>
          <w:sz w:val="18"/>
        </w:rPr>
      </w:pPr>
      <w:r w:rsidRPr="007440C5">
        <w:rPr>
          <w:sz w:val="18"/>
        </w:rPr>
        <w:t>(</w:t>
      </w:r>
      <w:r w:rsidR="0091551D">
        <w:rPr>
          <w:i/>
          <w:sz w:val="18"/>
        </w:rPr>
        <w:t xml:space="preserve">Source: </w:t>
      </w:r>
      <w:r w:rsidRPr="007440C5">
        <w:rPr>
          <w:i/>
          <w:sz w:val="18"/>
        </w:rPr>
        <w:t>CML 2013</w:t>
      </w:r>
      <w:r w:rsidRPr="007440C5">
        <w:rPr>
          <w:sz w:val="18"/>
        </w:rPr>
        <w:t>)</w:t>
      </w:r>
    </w:p>
    <w:p w:rsidR="007440C5" w:rsidRPr="007440C5" w:rsidRDefault="007440C5" w:rsidP="0091551D">
      <w:pPr>
        <w:spacing w:before="120" w:after="0"/>
        <w:ind w:left="709" w:firstLine="11"/>
      </w:pPr>
      <w:r w:rsidRPr="007440C5">
        <w:t>Table 8 shows that a deposit of £15,256 would be needed to secure a mortgage for an entry level property in those areas with highest student residence, and a deposit of between £26,000 and £40,000 would be needed to secure a mortgage for a three- or four-bed property. Average earners may be able to afford mortgage payments at these levels of prices, but it still may take them almost four years to accumulate the deposit. For those on low incomes it could take between eight and 17 years to accumulate the deposit required.</w:t>
      </w:r>
    </w:p>
    <w:p w:rsidR="007440C5" w:rsidRPr="007440C5" w:rsidRDefault="007440C5" w:rsidP="00EE5EB2">
      <w:pPr>
        <w:tabs>
          <w:tab w:val="left" w:pos="709"/>
          <w:tab w:val="left" w:pos="1701"/>
        </w:tabs>
        <w:spacing w:before="120" w:after="100" w:afterAutospacing="1"/>
        <w:rPr>
          <w:i/>
        </w:rPr>
      </w:pPr>
      <w:r w:rsidRPr="007440C5">
        <w:lastRenderedPageBreak/>
        <w:tab/>
      </w:r>
      <w:r w:rsidRPr="007440C5">
        <w:rPr>
          <w:i/>
        </w:rPr>
        <w:t>Table 9:</w:t>
      </w:r>
      <w:r w:rsidRPr="007440C5">
        <w:rPr>
          <w:i/>
        </w:rPr>
        <w:tab/>
      </w:r>
      <w:r w:rsidR="00EE5EB2">
        <w:rPr>
          <w:i/>
        </w:rPr>
        <w:t xml:space="preserve"> </w:t>
      </w:r>
      <w:r w:rsidRPr="007440C5">
        <w:rPr>
          <w:i/>
        </w:rPr>
        <w:t>Market rents in areas of highest student residence</w:t>
      </w:r>
    </w:p>
    <w:tbl>
      <w:tblPr>
        <w:tblStyle w:val="TableGrid"/>
        <w:tblW w:w="0" w:type="auto"/>
        <w:tblInd w:w="817" w:type="dxa"/>
        <w:tblLook w:val="04A0" w:firstRow="1" w:lastRow="0" w:firstColumn="1" w:lastColumn="0" w:noHBand="0" w:noVBand="1"/>
      </w:tblPr>
      <w:tblGrid>
        <w:gridCol w:w="3544"/>
        <w:gridCol w:w="992"/>
        <w:gridCol w:w="992"/>
        <w:gridCol w:w="1134"/>
        <w:gridCol w:w="1134"/>
        <w:gridCol w:w="993"/>
      </w:tblGrid>
      <w:tr w:rsidR="007440C5" w:rsidRPr="007440C5" w:rsidTr="00BB288F">
        <w:tc>
          <w:tcPr>
            <w:tcW w:w="3544" w:type="dxa"/>
            <w:vAlign w:val="bottom"/>
          </w:tcPr>
          <w:p w:rsidR="007440C5" w:rsidRPr="007440C5" w:rsidRDefault="007440C5" w:rsidP="007440C5">
            <w:pPr>
              <w:spacing w:line="312"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Monthly market rents</w:t>
            </w:r>
          </w:p>
        </w:tc>
        <w:tc>
          <w:tcPr>
            <w:tcW w:w="992"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1 bed</w:t>
            </w:r>
          </w:p>
        </w:tc>
        <w:tc>
          <w:tcPr>
            <w:tcW w:w="992"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2 bed</w:t>
            </w:r>
          </w:p>
        </w:tc>
        <w:tc>
          <w:tcPr>
            <w:tcW w:w="1134"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3 bed</w:t>
            </w:r>
          </w:p>
        </w:tc>
        <w:tc>
          <w:tcPr>
            <w:tcW w:w="1134"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 bed</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ALL</w:t>
            </w:r>
          </w:p>
        </w:tc>
      </w:tr>
      <w:tr w:rsidR="007440C5" w:rsidRPr="007440C5" w:rsidTr="00BB288F">
        <w:trPr>
          <w:trHeight w:val="138"/>
        </w:trPr>
        <w:tc>
          <w:tcPr>
            <w:tcW w:w="8789" w:type="dxa"/>
            <w:gridSpan w:val="6"/>
            <w:vAlign w:val="bottom"/>
          </w:tcPr>
          <w:p w:rsidR="007440C5" w:rsidRPr="007440C5" w:rsidRDefault="007440C5" w:rsidP="007440C5">
            <w:pPr>
              <w:spacing w:line="312" w:lineRule="auto"/>
              <w:rPr>
                <w:i/>
              </w:rPr>
            </w:pPr>
            <w:r w:rsidRPr="007440C5">
              <w:rPr>
                <w:rFonts w:ascii="Calibri" w:eastAsia="Times New Roman" w:hAnsi="Calibri" w:cs="Times New Roman"/>
                <w:b/>
                <w:bCs/>
                <w:color w:val="000000"/>
                <w:sz w:val="20"/>
                <w:szCs w:val="20"/>
                <w:lang w:eastAsia="en-GB"/>
              </w:rPr>
              <w:t>Areas within 2 miles of the University/College campus</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Shearbridge</w:t>
            </w:r>
            <w:proofErr w:type="spellEnd"/>
            <w:r w:rsidRPr="007440C5">
              <w:rPr>
                <w:rFonts w:ascii="Calibri" w:eastAsia="Times New Roman" w:hAnsi="Calibri" w:cs="Times New Roman"/>
                <w:color w:val="000000"/>
                <w:sz w:val="20"/>
                <w:szCs w:val="20"/>
                <w:lang w:eastAsia="en-GB"/>
              </w:rPr>
              <w:t xml:space="preserve">, </w:t>
            </w:r>
            <w:proofErr w:type="spellStart"/>
            <w:r w:rsidRPr="007440C5">
              <w:rPr>
                <w:rFonts w:ascii="Calibri" w:eastAsia="Times New Roman" w:hAnsi="Calibri" w:cs="Times New Roman"/>
                <w:color w:val="000000"/>
                <w:sz w:val="20"/>
                <w:szCs w:val="20"/>
                <w:lang w:eastAsia="en-GB"/>
              </w:rPr>
              <w:t>Lidgett</w:t>
            </w:r>
            <w:proofErr w:type="spellEnd"/>
            <w:r w:rsidRPr="007440C5">
              <w:rPr>
                <w:rFonts w:ascii="Calibri" w:eastAsia="Times New Roman" w:hAnsi="Calibri" w:cs="Times New Roman"/>
                <w:color w:val="000000"/>
                <w:sz w:val="20"/>
                <w:szCs w:val="20"/>
                <w:lang w:eastAsia="en-GB"/>
              </w:rPr>
              <w:t xml:space="preserve"> Green</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£364</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£452</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£454</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£503</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£485</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City Centre</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£417</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£553</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£386</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£482</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Little Horton, West Bowling</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£412</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£382</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£460</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£565</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£455</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 xml:space="preserve">Heaton, </w:t>
            </w:r>
            <w:proofErr w:type="spellStart"/>
            <w:r w:rsidRPr="007440C5">
              <w:rPr>
                <w:rFonts w:ascii="Calibri" w:eastAsia="Times New Roman" w:hAnsi="Calibri" w:cs="Times New Roman"/>
                <w:color w:val="000000"/>
                <w:sz w:val="20"/>
                <w:szCs w:val="20"/>
                <w:lang w:eastAsia="en-GB"/>
              </w:rPr>
              <w:t>Frizinghall</w:t>
            </w:r>
            <w:proofErr w:type="spellEnd"/>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£373</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£415</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£524</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£635</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£431</w:t>
            </w:r>
          </w:p>
        </w:tc>
      </w:tr>
      <w:tr w:rsidR="007440C5" w:rsidRPr="007440C5" w:rsidTr="00BB288F">
        <w:tc>
          <w:tcPr>
            <w:tcW w:w="3544" w:type="dxa"/>
            <w:vAlign w:val="bottom"/>
          </w:tcPr>
          <w:p w:rsidR="007440C5" w:rsidRPr="007440C5" w:rsidRDefault="007440C5" w:rsidP="007440C5">
            <w:pPr>
              <w:spacing w:line="312" w:lineRule="auto"/>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Average</w:t>
            </w:r>
          </w:p>
        </w:tc>
        <w:tc>
          <w:tcPr>
            <w:tcW w:w="992"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£392</w:t>
            </w:r>
          </w:p>
        </w:tc>
        <w:tc>
          <w:tcPr>
            <w:tcW w:w="992"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£451</w:t>
            </w:r>
          </w:p>
        </w:tc>
        <w:tc>
          <w:tcPr>
            <w:tcW w:w="1134"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£456</w:t>
            </w:r>
          </w:p>
        </w:tc>
        <w:tc>
          <w:tcPr>
            <w:tcW w:w="1134"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£568</w:t>
            </w:r>
          </w:p>
        </w:tc>
        <w:tc>
          <w:tcPr>
            <w:tcW w:w="993"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£463</w:t>
            </w:r>
          </w:p>
        </w:tc>
      </w:tr>
      <w:tr w:rsidR="007440C5" w:rsidRPr="007440C5" w:rsidTr="00BB288F">
        <w:tc>
          <w:tcPr>
            <w:tcW w:w="8789" w:type="dxa"/>
            <w:gridSpan w:val="6"/>
            <w:vAlign w:val="bottom"/>
          </w:tcPr>
          <w:p w:rsidR="007440C5" w:rsidRPr="007440C5" w:rsidRDefault="007440C5" w:rsidP="0091551D">
            <w:pPr>
              <w:spacing w:line="312" w:lineRule="auto"/>
              <w:rPr>
                <w:i/>
              </w:rPr>
            </w:pPr>
            <w:r w:rsidRPr="007440C5">
              <w:rPr>
                <w:rFonts w:ascii="Calibri" w:eastAsia="Times New Roman" w:hAnsi="Calibri" w:cs="Times New Roman"/>
                <w:b/>
                <w:bCs/>
                <w:color w:val="000000"/>
                <w:sz w:val="20"/>
                <w:szCs w:val="20"/>
                <w:lang w:eastAsia="en-GB"/>
              </w:rPr>
              <w:t>Areas within 2-3 miles of the University/College campuses</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Manningham</w:t>
            </w:r>
            <w:proofErr w:type="spellEnd"/>
            <w:r w:rsidRPr="007440C5">
              <w:rPr>
                <w:rFonts w:ascii="Calibri" w:eastAsia="Times New Roman" w:hAnsi="Calibri" w:cs="Times New Roman"/>
                <w:color w:val="000000"/>
                <w:sz w:val="20"/>
                <w:szCs w:val="20"/>
                <w:lang w:eastAsia="en-GB"/>
              </w:rPr>
              <w:t xml:space="preserve">, </w:t>
            </w:r>
            <w:proofErr w:type="spellStart"/>
            <w:r w:rsidRPr="007440C5">
              <w:rPr>
                <w:rFonts w:ascii="Calibri" w:eastAsia="Times New Roman" w:hAnsi="Calibri" w:cs="Times New Roman"/>
                <w:color w:val="000000"/>
                <w:sz w:val="20"/>
                <w:szCs w:val="20"/>
                <w:lang w:eastAsia="en-GB"/>
              </w:rPr>
              <w:t>Girlington</w:t>
            </w:r>
            <w:proofErr w:type="spellEnd"/>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£382</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£392</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£443</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£498</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£408</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Eccleshill</w:t>
            </w:r>
            <w:proofErr w:type="spellEnd"/>
            <w:r w:rsidRPr="007440C5">
              <w:rPr>
                <w:rFonts w:ascii="Calibri" w:eastAsia="Times New Roman" w:hAnsi="Calibri" w:cs="Times New Roman"/>
                <w:color w:val="000000"/>
                <w:sz w:val="20"/>
                <w:szCs w:val="20"/>
                <w:lang w:eastAsia="en-GB"/>
              </w:rPr>
              <w:t>, Five Lane Ends</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£354</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£459</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£497</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£607</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£449</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Barkerend</w:t>
            </w:r>
            <w:proofErr w:type="spellEnd"/>
            <w:r w:rsidRPr="007440C5">
              <w:rPr>
                <w:rFonts w:ascii="Calibri" w:eastAsia="Times New Roman" w:hAnsi="Calibri" w:cs="Times New Roman"/>
                <w:color w:val="000000"/>
                <w:sz w:val="20"/>
                <w:szCs w:val="20"/>
                <w:lang w:eastAsia="en-GB"/>
              </w:rPr>
              <w:t xml:space="preserve">, </w:t>
            </w:r>
            <w:proofErr w:type="spellStart"/>
            <w:r w:rsidRPr="007440C5">
              <w:rPr>
                <w:rFonts w:ascii="Calibri" w:eastAsia="Times New Roman" w:hAnsi="Calibri" w:cs="Times New Roman"/>
                <w:color w:val="000000"/>
                <w:sz w:val="20"/>
                <w:szCs w:val="20"/>
                <w:lang w:eastAsia="en-GB"/>
              </w:rPr>
              <w:t>Laisterdyke</w:t>
            </w:r>
            <w:proofErr w:type="spellEnd"/>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£380</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£415</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£437</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£472</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£416</w:t>
            </w:r>
          </w:p>
        </w:tc>
      </w:tr>
      <w:tr w:rsidR="007440C5" w:rsidRPr="007440C5" w:rsidTr="00BB288F">
        <w:tc>
          <w:tcPr>
            <w:tcW w:w="3544"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Tyersal,Holmewood,Bierley</w:t>
            </w:r>
            <w:proofErr w:type="spellEnd"/>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£380</w:t>
            </w:r>
          </w:p>
        </w:tc>
        <w:tc>
          <w:tcPr>
            <w:tcW w:w="992"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£412</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£476</w:t>
            </w:r>
          </w:p>
        </w:tc>
        <w:tc>
          <w:tcPr>
            <w:tcW w:w="1134" w:type="dxa"/>
            <w:vAlign w:val="bottom"/>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£620</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£453</w:t>
            </w:r>
          </w:p>
        </w:tc>
      </w:tr>
      <w:tr w:rsidR="007440C5" w:rsidRPr="007440C5" w:rsidTr="00BB288F">
        <w:tc>
          <w:tcPr>
            <w:tcW w:w="3544" w:type="dxa"/>
            <w:vAlign w:val="bottom"/>
          </w:tcPr>
          <w:p w:rsidR="007440C5" w:rsidRPr="007440C5" w:rsidRDefault="007440C5" w:rsidP="007440C5">
            <w:pPr>
              <w:spacing w:line="312" w:lineRule="auto"/>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Average</w:t>
            </w:r>
          </w:p>
        </w:tc>
        <w:tc>
          <w:tcPr>
            <w:tcW w:w="992"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£374</w:t>
            </w:r>
          </w:p>
        </w:tc>
        <w:tc>
          <w:tcPr>
            <w:tcW w:w="992"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£420</w:t>
            </w:r>
          </w:p>
        </w:tc>
        <w:tc>
          <w:tcPr>
            <w:tcW w:w="1134"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£463</w:t>
            </w:r>
          </w:p>
        </w:tc>
        <w:tc>
          <w:tcPr>
            <w:tcW w:w="1134"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£549</w:t>
            </w:r>
          </w:p>
        </w:tc>
        <w:tc>
          <w:tcPr>
            <w:tcW w:w="993" w:type="dxa"/>
            <w:vAlign w:val="bottom"/>
          </w:tcPr>
          <w:p w:rsidR="007440C5" w:rsidRPr="007440C5" w:rsidRDefault="007440C5" w:rsidP="007440C5">
            <w:pPr>
              <w:spacing w:line="312" w:lineRule="auto"/>
              <w:jc w:val="center"/>
              <w:rPr>
                <w:rFonts w:ascii="Calibri" w:eastAsia="Times New Roman" w:hAnsi="Calibri" w:cs="Times New Roman"/>
                <w:i/>
                <w:iCs/>
                <w:color w:val="000000"/>
                <w:sz w:val="20"/>
                <w:szCs w:val="20"/>
                <w:lang w:eastAsia="en-GB"/>
              </w:rPr>
            </w:pPr>
            <w:r w:rsidRPr="007440C5">
              <w:rPr>
                <w:rFonts w:ascii="Calibri" w:eastAsia="Times New Roman" w:hAnsi="Calibri" w:cs="Times New Roman"/>
                <w:i/>
                <w:iCs/>
                <w:color w:val="000000"/>
                <w:sz w:val="20"/>
                <w:szCs w:val="20"/>
                <w:lang w:eastAsia="en-GB"/>
              </w:rPr>
              <w:t>£432</w:t>
            </w:r>
          </w:p>
        </w:tc>
      </w:tr>
      <w:tr w:rsidR="007440C5" w:rsidRPr="007440C5" w:rsidTr="00BB288F">
        <w:tc>
          <w:tcPr>
            <w:tcW w:w="3544" w:type="dxa"/>
            <w:vAlign w:val="bottom"/>
          </w:tcPr>
          <w:p w:rsidR="007440C5" w:rsidRPr="007440C5" w:rsidRDefault="007440C5" w:rsidP="007440C5">
            <w:pPr>
              <w:spacing w:line="312"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BRADFORD AVERAGE</w:t>
            </w:r>
          </w:p>
        </w:tc>
        <w:tc>
          <w:tcPr>
            <w:tcW w:w="992"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£404</w:t>
            </w:r>
          </w:p>
        </w:tc>
        <w:tc>
          <w:tcPr>
            <w:tcW w:w="992"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£488</w:t>
            </w:r>
          </w:p>
        </w:tc>
        <w:tc>
          <w:tcPr>
            <w:tcW w:w="1134"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£512</w:t>
            </w:r>
          </w:p>
        </w:tc>
        <w:tc>
          <w:tcPr>
            <w:tcW w:w="1134"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£596</w:t>
            </w:r>
          </w:p>
        </w:tc>
        <w:tc>
          <w:tcPr>
            <w:tcW w:w="993"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£483</w:t>
            </w:r>
          </w:p>
        </w:tc>
      </w:tr>
    </w:tbl>
    <w:p w:rsidR="007440C5" w:rsidRPr="0091551D" w:rsidRDefault="0091551D" w:rsidP="007440C5">
      <w:pPr>
        <w:spacing w:before="120" w:after="0"/>
        <w:ind w:firstLine="720"/>
        <w:rPr>
          <w:sz w:val="18"/>
        </w:rPr>
      </w:pPr>
      <w:r>
        <w:rPr>
          <w:sz w:val="18"/>
        </w:rPr>
        <w:t>(</w:t>
      </w:r>
      <w:r w:rsidR="007440C5" w:rsidRPr="007440C5">
        <w:rPr>
          <w:i/>
          <w:sz w:val="18"/>
        </w:rPr>
        <w:t xml:space="preserve">Source:  </w:t>
      </w:r>
      <w:hyperlink r:id="rId12" w:history="1">
        <w:r w:rsidRPr="0084567B">
          <w:rPr>
            <w:rStyle w:val="Hyperlink"/>
            <w:i/>
            <w:sz w:val="18"/>
          </w:rPr>
          <w:t>www.home.co.uk</w:t>
        </w:r>
      </w:hyperlink>
      <w:r>
        <w:rPr>
          <w:sz w:val="18"/>
        </w:rPr>
        <w:t>)</w:t>
      </w:r>
      <w:r w:rsidR="007440C5" w:rsidRPr="007440C5">
        <w:rPr>
          <w:i/>
          <w:sz w:val="18"/>
        </w:rPr>
        <w:t>)</w:t>
      </w:r>
    </w:p>
    <w:p w:rsidR="007440C5" w:rsidRPr="007440C5" w:rsidRDefault="007440C5" w:rsidP="007440C5">
      <w:pPr>
        <w:spacing w:before="120" w:after="0"/>
        <w:ind w:left="720"/>
      </w:pPr>
      <w:r w:rsidRPr="007440C5">
        <w:t xml:space="preserve">Table 9 shows that market rents in areas with highest student residence tend to be lower than the city average, but with some variation. While this would suggest a more affordable level of rent in those areas, Tables 10a and 10b show that affordability is limited to those on or around average income levels. </w:t>
      </w:r>
    </w:p>
    <w:p w:rsidR="007440C5" w:rsidRPr="007440C5" w:rsidRDefault="007440C5" w:rsidP="00EE5EB2">
      <w:pPr>
        <w:tabs>
          <w:tab w:val="left" w:pos="1701"/>
        </w:tabs>
        <w:spacing w:before="120" w:after="0"/>
        <w:ind w:left="720"/>
      </w:pPr>
      <w:r w:rsidRPr="007440C5">
        <w:rPr>
          <w:i/>
        </w:rPr>
        <w:t>Table 10a:</w:t>
      </w:r>
      <w:r w:rsidR="00EE5EB2">
        <w:rPr>
          <w:i/>
        </w:rPr>
        <w:t xml:space="preserve"> </w:t>
      </w:r>
      <w:r w:rsidRPr="007440C5">
        <w:rPr>
          <w:i/>
        </w:rPr>
        <w:t>Income needed to afford market rents in areas with highest student residence</w:t>
      </w:r>
    </w:p>
    <w:tbl>
      <w:tblPr>
        <w:tblStyle w:val="TableGrid"/>
        <w:tblpPr w:leftFromText="180" w:rightFromText="180" w:vertAnchor="text" w:horzAnchor="margin" w:tblpXSpec="center" w:tblpY="178"/>
        <w:tblW w:w="0" w:type="auto"/>
        <w:tblLook w:val="04A0" w:firstRow="1" w:lastRow="0" w:firstColumn="1" w:lastColumn="0" w:noHBand="0" w:noVBand="1"/>
      </w:tblPr>
      <w:tblGrid>
        <w:gridCol w:w="2477"/>
        <w:gridCol w:w="966"/>
        <w:gridCol w:w="1018"/>
        <w:gridCol w:w="992"/>
        <w:gridCol w:w="1109"/>
        <w:gridCol w:w="2085"/>
      </w:tblGrid>
      <w:tr w:rsidR="007440C5" w:rsidRPr="007440C5" w:rsidTr="008B0CA5">
        <w:tc>
          <w:tcPr>
            <w:tcW w:w="2477" w:type="dxa"/>
            <w:vAlign w:val="bottom"/>
          </w:tcPr>
          <w:p w:rsidR="007440C5" w:rsidRPr="007440C5" w:rsidRDefault="007440C5" w:rsidP="007440C5">
            <w:pPr>
              <w:spacing w:line="312" w:lineRule="auto"/>
              <w:rPr>
                <w:rFonts w:ascii="Calibri" w:eastAsia="Times New Roman" w:hAnsi="Calibri" w:cs="Times New Roman"/>
                <w:color w:val="000000"/>
                <w:sz w:val="20"/>
                <w:szCs w:val="20"/>
                <w:lang w:eastAsia="en-GB"/>
              </w:rPr>
            </w:pPr>
          </w:p>
        </w:tc>
        <w:tc>
          <w:tcPr>
            <w:tcW w:w="966"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1 bed</w:t>
            </w:r>
          </w:p>
        </w:tc>
        <w:tc>
          <w:tcPr>
            <w:tcW w:w="101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2 bed</w:t>
            </w:r>
          </w:p>
        </w:tc>
        <w:tc>
          <w:tcPr>
            <w:tcW w:w="992"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3 bed</w:t>
            </w:r>
          </w:p>
        </w:tc>
        <w:tc>
          <w:tcPr>
            <w:tcW w:w="1109"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 bed</w:t>
            </w:r>
          </w:p>
        </w:tc>
        <w:tc>
          <w:tcPr>
            <w:tcW w:w="2085"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ALL</w:t>
            </w:r>
          </w:p>
        </w:tc>
      </w:tr>
      <w:tr w:rsidR="007440C5" w:rsidRPr="007440C5" w:rsidTr="008B0CA5">
        <w:tc>
          <w:tcPr>
            <w:tcW w:w="2477"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Areas 1-2 miles from the University/ College</w:t>
            </w:r>
          </w:p>
        </w:tc>
        <w:tc>
          <w:tcPr>
            <w:tcW w:w="966"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£16,443</w:t>
            </w:r>
          </w:p>
        </w:tc>
        <w:tc>
          <w:tcPr>
            <w:tcW w:w="1018"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£18,921</w:t>
            </w:r>
          </w:p>
        </w:tc>
        <w:tc>
          <w:tcPr>
            <w:tcW w:w="992"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£19,152</w:t>
            </w:r>
          </w:p>
        </w:tc>
        <w:tc>
          <w:tcPr>
            <w:tcW w:w="1109"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£23,842</w:t>
            </w:r>
          </w:p>
        </w:tc>
        <w:tc>
          <w:tcPr>
            <w:tcW w:w="2085"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£19,457</w:t>
            </w:r>
          </w:p>
        </w:tc>
      </w:tr>
      <w:tr w:rsidR="007440C5" w:rsidRPr="007440C5" w:rsidTr="008B0CA5">
        <w:tc>
          <w:tcPr>
            <w:tcW w:w="2477" w:type="dxa"/>
            <w:vAlign w:val="center"/>
          </w:tcPr>
          <w:p w:rsidR="007440C5" w:rsidRPr="007440C5" w:rsidRDefault="007440C5" w:rsidP="007440C5">
            <w:pPr>
              <w:spacing w:line="312"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Areas 2-3 miles from the University/ College</w:t>
            </w:r>
          </w:p>
        </w:tc>
        <w:tc>
          <w:tcPr>
            <w:tcW w:w="966"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£15,708</w:t>
            </w:r>
          </w:p>
        </w:tc>
        <w:tc>
          <w:tcPr>
            <w:tcW w:w="1018"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£17,619</w:t>
            </w:r>
          </w:p>
        </w:tc>
        <w:tc>
          <w:tcPr>
            <w:tcW w:w="992"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£19,457</w:t>
            </w:r>
          </w:p>
        </w:tc>
        <w:tc>
          <w:tcPr>
            <w:tcW w:w="1109"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£23,069</w:t>
            </w:r>
          </w:p>
        </w:tc>
        <w:tc>
          <w:tcPr>
            <w:tcW w:w="2085" w:type="dxa"/>
            <w:vAlign w:val="center"/>
          </w:tcPr>
          <w:p w:rsidR="007440C5" w:rsidRPr="007440C5" w:rsidRDefault="007440C5" w:rsidP="007440C5">
            <w:pPr>
              <w:spacing w:line="312"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£18,123</w:t>
            </w:r>
          </w:p>
        </w:tc>
      </w:tr>
      <w:tr w:rsidR="007440C5" w:rsidRPr="007440C5" w:rsidTr="008B0CA5">
        <w:tc>
          <w:tcPr>
            <w:tcW w:w="2477" w:type="dxa"/>
            <w:vAlign w:val="center"/>
          </w:tcPr>
          <w:p w:rsidR="007440C5" w:rsidRPr="007440C5" w:rsidRDefault="007440C5" w:rsidP="007440C5">
            <w:pPr>
              <w:spacing w:line="312" w:lineRule="auto"/>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Bradford average</w:t>
            </w:r>
          </w:p>
        </w:tc>
        <w:tc>
          <w:tcPr>
            <w:tcW w:w="966" w:type="dxa"/>
            <w:vAlign w:val="center"/>
          </w:tcPr>
          <w:p w:rsidR="007440C5" w:rsidRPr="007440C5" w:rsidRDefault="007440C5" w:rsidP="007440C5">
            <w:pPr>
              <w:spacing w:line="312" w:lineRule="auto"/>
              <w:jc w:val="center"/>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£16,968</w:t>
            </w:r>
          </w:p>
        </w:tc>
        <w:tc>
          <w:tcPr>
            <w:tcW w:w="1018" w:type="dxa"/>
            <w:vAlign w:val="center"/>
          </w:tcPr>
          <w:p w:rsidR="007440C5" w:rsidRPr="007440C5" w:rsidRDefault="007440C5" w:rsidP="007440C5">
            <w:pPr>
              <w:spacing w:line="312" w:lineRule="auto"/>
              <w:jc w:val="center"/>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£20,496</w:t>
            </w:r>
          </w:p>
        </w:tc>
        <w:tc>
          <w:tcPr>
            <w:tcW w:w="992" w:type="dxa"/>
            <w:vAlign w:val="center"/>
          </w:tcPr>
          <w:p w:rsidR="007440C5" w:rsidRPr="007440C5" w:rsidRDefault="007440C5" w:rsidP="007440C5">
            <w:pPr>
              <w:spacing w:line="312" w:lineRule="auto"/>
              <w:jc w:val="center"/>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£21,504</w:t>
            </w:r>
          </w:p>
        </w:tc>
        <w:tc>
          <w:tcPr>
            <w:tcW w:w="1109" w:type="dxa"/>
            <w:vAlign w:val="center"/>
          </w:tcPr>
          <w:p w:rsidR="007440C5" w:rsidRPr="007440C5" w:rsidRDefault="007440C5" w:rsidP="007440C5">
            <w:pPr>
              <w:spacing w:line="312" w:lineRule="auto"/>
              <w:jc w:val="center"/>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£25,032</w:t>
            </w:r>
          </w:p>
        </w:tc>
        <w:tc>
          <w:tcPr>
            <w:tcW w:w="2085" w:type="dxa"/>
            <w:vAlign w:val="center"/>
          </w:tcPr>
          <w:p w:rsidR="007440C5" w:rsidRPr="007440C5" w:rsidRDefault="007440C5" w:rsidP="007440C5">
            <w:pPr>
              <w:spacing w:line="312" w:lineRule="auto"/>
              <w:jc w:val="center"/>
              <w:rPr>
                <w:rFonts w:ascii="Calibri" w:eastAsia="Times New Roman" w:hAnsi="Calibri" w:cs="Times New Roman"/>
                <w:b/>
                <w:i/>
                <w:color w:val="000000"/>
                <w:sz w:val="20"/>
                <w:szCs w:val="20"/>
                <w:lang w:eastAsia="en-GB"/>
              </w:rPr>
            </w:pPr>
            <w:r w:rsidRPr="007440C5">
              <w:rPr>
                <w:rFonts w:ascii="Calibri" w:eastAsia="Times New Roman" w:hAnsi="Calibri" w:cs="Times New Roman"/>
                <w:b/>
                <w:i/>
                <w:color w:val="000000"/>
                <w:sz w:val="20"/>
                <w:szCs w:val="20"/>
                <w:lang w:eastAsia="en-GB"/>
              </w:rPr>
              <w:t>£20,286</w:t>
            </w:r>
          </w:p>
        </w:tc>
      </w:tr>
    </w:tbl>
    <w:p w:rsidR="007440C5" w:rsidRPr="007440C5" w:rsidRDefault="007440C5" w:rsidP="007440C5">
      <w:pPr>
        <w:spacing w:before="120" w:after="0"/>
        <w:ind w:firstLine="720"/>
        <w:rPr>
          <w:sz w:val="18"/>
        </w:rPr>
      </w:pPr>
      <w:r w:rsidRPr="007440C5">
        <w:rPr>
          <w:i/>
          <w:sz w:val="18"/>
        </w:rPr>
        <w:t xml:space="preserve"> </w:t>
      </w:r>
      <w:r w:rsidR="008B0CA5">
        <w:rPr>
          <w:i/>
          <w:sz w:val="18"/>
        </w:rPr>
        <w:tab/>
      </w:r>
      <w:r w:rsidRPr="007440C5">
        <w:rPr>
          <w:sz w:val="18"/>
        </w:rPr>
        <w:t>(</w:t>
      </w:r>
      <w:r w:rsidRPr="007440C5">
        <w:rPr>
          <w:i/>
          <w:sz w:val="18"/>
        </w:rPr>
        <w:t xml:space="preserve">Source:  </w:t>
      </w:r>
      <w:hyperlink r:id="rId13" w:history="1">
        <w:r w:rsidRPr="007440C5">
          <w:rPr>
            <w:i/>
            <w:color w:val="0000FF" w:themeColor="hyperlink"/>
            <w:sz w:val="18"/>
            <w:u w:val="single"/>
          </w:rPr>
          <w:t>www.home.co.uk</w:t>
        </w:r>
      </w:hyperlink>
      <w:r w:rsidR="008B0CA5">
        <w:rPr>
          <w:i/>
          <w:sz w:val="18"/>
        </w:rPr>
        <w:t xml:space="preserve"> 2014; </w:t>
      </w:r>
      <w:r w:rsidRPr="007440C5">
        <w:rPr>
          <w:i/>
          <w:sz w:val="18"/>
        </w:rPr>
        <w:t>Annual Survey of Hours and Earnings, Office for National Statistics 2013</w:t>
      </w:r>
      <w:r w:rsidRPr="007440C5">
        <w:rPr>
          <w:sz w:val="18"/>
        </w:rPr>
        <w:t>)</w:t>
      </w:r>
    </w:p>
    <w:p w:rsidR="007440C5" w:rsidRPr="007440C5" w:rsidRDefault="007440C5" w:rsidP="00EE5EB2">
      <w:pPr>
        <w:tabs>
          <w:tab w:val="left" w:pos="1701"/>
        </w:tabs>
        <w:spacing w:before="120" w:after="100" w:afterAutospacing="1"/>
        <w:ind w:left="720"/>
        <w:rPr>
          <w:i/>
        </w:rPr>
      </w:pPr>
      <w:r w:rsidRPr="007440C5">
        <w:rPr>
          <w:i/>
        </w:rPr>
        <w:t xml:space="preserve">Table 10b: Proportion of monthly income of different income groups taken by market rents in areas </w:t>
      </w:r>
      <w:r w:rsidR="00EE5EB2">
        <w:rPr>
          <w:i/>
        </w:rPr>
        <w:tab/>
      </w:r>
      <w:r w:rsidRPr="007440C5">
        <w:rPr>
          <w:i/>
        </w:rPr>
        <w:t>of highest student residence</w:t>
      </w:r>
    </w:p>
    <w:tbl>
      <w:tblPr>
        <w:tblW w:w="8930" w:type="dxa"/>
        <w:tblInd w:w="81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111"/>
        <w:gridCol w:w="992"/>
        <w:gridCol w:w="851"/>
        <w:gridCol w:w="992"/>
        <w:gridCol w:w="992"/>
        <w:gridCol w:w="992"/>
      </w:tblGrid>
      <w:tr w:rsidR="007440C5" w:rsidRPr="007440C5" w:rsidTr="00BB288F">
        <w:trPr>
          <w:trHeight w:val="345"/>
        </w:trPr>
        <w:tc>
          <w:tcPr>
            <w:tcW w:w="4111"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1 bed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2 bed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3 bed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 bed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ALL</w:t>
            </w:r>
          </w:p>
        </w:tc>
      </w:tr>
      <w:tr w:rsidR="007440C5" w:rsidRPr="007440C5" w:rsidTr="00BB288F">
        <w:trPr>
          <w:trHeight w:val="345"/>
        </w:trPr>
        <w:tc>
          <w:tcPr>
            <w:tcW w:w="4111"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Bottom 10% income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53.1%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61.2%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61.9%</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77.1%</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62.9%</w:t>
            </w:r>
          </w:p>
        </w:tc>
      </w:tr>
      <w:tr w:rsidR="007440C5" w:rsidRPr="007440C5" w:rsidTr="00BB288F">
        <w:trPr>
          <w:trHeight w:val="345"/>
        </w:trPr>
        <w:tc>
          <w:tcPr>
            <w:tcW w:w="4111"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Bottom 25% income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25.4%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29.6%</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36.9%</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30.1%</w:t>
            </w:r>
          </w:p>
        </w:tc>
      </w:tr>
      <w:tr w:rsidR="007440C5" w:rsidRPr="007440C5" w:rsidTr="00BB288F">
        <w:trPr>
          <w:trHeight w:val="345"/>
        </w:trPr>
        <w:tc>
          <w:tcPr>
            <w:tcW w:w="4111"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Average income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14.1%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20.5%</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16.7%</w:t>
            </w:r>
          </w:p>
        </w:tc>
      </w:tr>
    </w:tbl>
    <w:p w:rsidR="007440C5" w:rsidRPr="007440C5" w:rsidRDefault="007440C5" w:rsidP="007440C5">
      <w:pPr>
        <w:spacing w:before="120" w:after="0"/>
        <w:ind w:firstLine="720"/>
      </w:pPr>
      <w:r w:rsidRPr="007440C5">
        <w:rPr>
          <w:sz w:val="18"/>
        </w:rPr>
        <w:t>(</w:t>
      </w:r>
      <w:r w:rsidRPr="007440C5">
        <w:rPr>
          <w:i/>
          <w:sz w:val="18"/>
        </w:rPr>
        <w:t xml:space="preserve">Source:  </w:t>
      </w:r>
      <w:hyperlink r:id="rId14" w:history="1">
        <w:r w:rsidRPr="007440C5">
          <w:rPr>
            <w:i/>
            <w:color w:val="0000FF" w:themeColor="hyperlink"/>
            <w:sz w:val="18"/>
            <w:u w:val="single"/>
          </w:rPr>
          <w:t>www.home.co.uk</w:t>
        </w:r>
      </w:hyperlink>
      <w:r w:rsidRPr="007440C5">
        <w:rPr>
          <w:i/>
          <w:sz w:val="18"/>
        </w:rPr>
        <w:t xml:space="preserve"> 2014</w:t>
      </w:r>
      <w:proofErr w:type="gramStart"/>
      <w:r w:rsidRPr="007440C5">
        <w:rPr>
          <w:i/>
          <w:sz w:val="18"/>
        </w:rPr>
        <w:t>;  Annual</w:t>
      </w:r>
      <w:proofErr w:type="gramEnd"/>
      <w:r w:rsidRPr="007440C5">
        <w:rPr>
          <w:i/>
          <w:sz w:val="18"/>
        </w:rPr>
        <w:t xml:space="preserve"> Survey of Hours and Earnings, Office for National Statistics 2013</w:t>
      </w:r>
      <w:r w:rsidRPr="007440C5">
        <w:rPr>
          <w:sz w:val="18"/>
        </w:rPr>
        <w:t>)</w:t>
      </w:r>
    </w:p>
    <w:p w:rsidR="007440C5" w:rsidRPr="007440C5" w:rsidRDefault="007440C5" w:rsidP="007440C5">
      <w:pPr>
        <w:spacing w:before="120" w:after="0"/>
        <w:ind w:left="720"/>
      </w:pPr>
      <w:r w:rsidRPr="007440C5">
        <w:t xml:space="preserve">Table 10a shows that an income of between £17,000 and £20,500 is needed to afford market rents for one- or two-bed </w:t>
      </w:r>
      <w:proofErr w:type="gramStart"/>
      <w:r w:rsidRPr="007440C5">
        <w:t>properties,</w:t>
      </w:r>
      <w:proofErr w:type="gramEnd"/>
      <w:r w:rsidRPr="007440C5">
        <w:t xml:space="preserve"> and between £19,000 and £24,000 for three beds or more in areas with high student populations. Table 10b shows that for the very lowest earners market rents in the areas with high student populations would take between 53 and 77 per cent of average monthly </w:t>
      </w:r>
      <w:r w:rsidRPr="007440C5">
        <w:lastRenderedPageBreak/>
        <w:t>income.  Rents would be just about affordable to those on lower than average incomes and comfortably affordable to average earners.</w:t>
      </w:r>
    </w:p>
    <w:p w:rsidR="00EE5EB2" w:rsidRDefault="00EE5EB2">
      <w:pPr>
        <w:rPr>
          <w:b/>
          <w:sz w:val="32"/>
        </w:rPr>
      </w:pPr>
      <w:r>
        <w:rPr>
          <w:b/>
          <w:sz w:val="32"/>
        </w:rPr>
        <w:br w:type="page"/>
      </w:r>
    </w:p>
    <w:p w:rsidR="007440C5" w:rsidRDefault="00EE5EB2" w:rsidP="007440C5">
      <w:pPr>
        <w:rPr>
          <w:b/>
          <w:sz w:val="32"/>
        </w:rPr>
      </w:pPr>
      <w:r>
        <w:rPr>
          <w:b/>
          <w:sz w:val="32"/>
        </w:rPr>
        <w:lastRenderedPageBreak/>
        <w:tab/>
      </w:r>
      <w:r w:rsidR="007440C5" w:rsidRPr="007440C5">
        <w:rPr>
          <w:b/>
          <w:sz w:val="32"/>
        </w:rPr>
        <w:t>Section 2</w:t>
      </w:r>
      <w:r>
        <w:rPr>
          <w:b/>
          <w:sz w:val="32"/>
        </w:rPr>
        <w:t>:</w:t>
      </w:r>
      <w:r w:rsidR="007440C5" w:rsidRPr="007440C5">
        <w:rPr>
          <w:b/>
          <w:sz w:val="32"/>
        </w:rPr>
        <w:tab/>
        <w:t>Supply of accommodation for students in Bradford</w:t>
      </w:r>
    </w:p>
    <w:p w:rsidR="008B0CA5" w:rsidRDefault="008B0CA5" w:rsidP="008B0CA5">
      <w:pPr>
        <w:ind w:left="720" w:hanging="720"/>
      </w:pPr>
      <w:r>
        <w:t>2.0</w:t>
      </w:r>
      <w:r>
        <w:tab/>
        <w:t>This section presents data on the shape of the student housing sector in Bradford, including accommodation types, rent levels and occupancy rates.</w:t>
      </w:r>
    </w:p>
    <w:p w:rsidR="007440C5" w:rsidRPr="007440C5" w:rsidRDefault="007440C5" w:rsidP="007440C5">
      <w:pPr>
        <w:ind w:left="720" w:hanging="720"/>
      </w:pPr>
      <w:r w:rsidRPr="007440C5">
        <w:t>2.1</w:t>
      </w:r>
      <w:r w:rsidRPr="007440C5">
        <w:tab/>
        <w:t>Students in Bradford are accommodated through a mix of PBSA, run either by the University of Bradford, Bradford College or private sector providers; city centre located private rented apartments; and off-street shared private rented housing – or they live in their own or their parent</w:t>
      </w:r>
      <w:r w:rsidR="00B26FEF">
        <w:t>s’</w:t>
      </w:r>
      <w:r w:rsidRPr="007440C5">
        <w:t xml:space="preserve"> home.</w:t>
      </w:r>
    </w:p>
    <w:p w:rsidR="007440C5" w:rsidRPr="007440C5" w:rsidRDefault="007440C5" w:rsidP="007440C5">
      <w:pPr>
        <w:ind w:left="720" w:hanging="720"/>
        <w:rPr>
          <w:b/>
        </w:rPr>
      </w:pPr>
      <w:r w:rsidRPr="007440C5">
        <w:rPr>
          <w:b/>
        </w:rPr>
        <w:t>2.2</w:t>
      </w:r>
      <w:r w:rsidRPr="007440C5">
        <w:tab/>
      </w:r>
      <w:r w:rsidRPr="007440C5">
        <w:rPr>
          <w:b/>
        </w:rPr>
        <w:t>Purpose-built student accommodation</w:t>
      </w:r>
    </w:p>
    <w:p w:rsidR="007440C5" w:rsidRPr="007440C5" w:rsidRDefault="007440C5" w:rsidP="007440C5">
      <w:pPr>
        <w:ind w:left="720"/>
      </w:pPr>
      <w:r w:rsidRPr="007440C5">
        <w:t>There are currently 4,350 bed spaces in PBSA in Bradford spread across University maintained accommodation and accommodation run by private sector providers. The ANUK/Unipol Code of Standards covers 3,755 bed spaces and 595 bed spaces are currently provided outside the Code. Table 11 below gives a breakdown of accommodation provision with numbers of bed spaces and ownership.</w:t>
      </w:r>
    </w:p>
    <w:p w:rsidR="007440C5" w:rsidRPr="007440C5" w:rsidRDefault="007440C5" w:rsidP="00EC3CF1">
      <w:pPr>
        <w:tabs>
          <w:tab w:val="left" w:pos="1701"/>
        </w:tabs>
        <w:ind w:firstLine="720"/>
        <w:rPr>
          <w:i/>
        </w:rPr>
      </w:pPr>
      <w:r w:rsidRPr="007440C5">
        <w:rPr>
          <w:i/>
        </w:rPr>
        <w:t>Table 11:</w:t>
      </w:r>
      <w:r w:rsidR="00EC3CF1">
        <w:rPr>
          <w:i/>
        </w:rPr>
        <w:tab/>
      </w:r>
      <w:r w:rsidRPr="007440C5">
        <w:rPr>
          <w:i/>
        </w:rPr>
        <w:t>Purpose-built student accommodation in Bradford 2014</w:t>
      </w:r>
    </w:p>
    <w:tbl>
      <w:tblPr>
        <w:tblW w:w="8051" w:type="dxa"/>
        <w:tblInd w:w="7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680"/>
        <w:gridCol w:w="2252"/>
        <w:gridCol w:w="1367"/>
        <w:gridCol w:w="901"/>
        <w:gridCol w:w="851"/>
      </w:tblGrid>
      <w:tr w:rsidR="007440C5" w:rsidRPr="007440C5" w:rsidTr="00BB288F">
        <w:trPr>
          <w:trHeight w:val="327"/>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Accommodation</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Provider</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Location</w:t>
            </w:r>
          </w:p>
        </w:tc>
        <w:tc>
          <w:tcPr>
            <w:tcW w:w="1752" w:type="dxa"/>
            <w:gridSpan w:val="2"/>
            <w:shd w:val="clear" w:color="auto" w:fill="auto"/>
            <w:tcMar>
              <w:top w:w="15" w:type="dxa"/>
              <w:left w:w="15" w:type="dxa"/>
              <w:bottom w:w="0" w:type="dxa"/>
              <w:right w:w="15" w:type="dxa"/>
            </w:tcMar>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Bed spaces</w:t>
            </w:r>
          </w:p>
        </w:tc>
      </w:tr>
      <w:tr w:rsidR="007440C5" w:rsidRPr="007440C5" w:rsidTr="00BB288F">
        <w:trPr>
          <w:trHeight w:val="300"/>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No</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w:t>
            </w:r>
          </w:p>
        </w:tc>
      </w:tr>
      <w:tr w:rsidR="007440C5" w:rsidRPr="007440C5" w:rsidTr="00BB288F">
        <w:trPr>
          <w:trHeight w:val="255"/>
        </w:trPr>
        <w:tc>
          <w:tcPr>
            <w:tcW w:w="4932" w:type="dxa"/>
            <w:gridSpan w:val="2"/>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Code of Standards accommodation</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3,799</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85.0%</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The Green</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University of Bradford</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1,026</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22.9%</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 xml:space="preserve">Vernon </w:t>
            </w:r>
            <w:proofErr w:type="spellStart"/>
            <w:r w:rsidRPr="007440C5">
              <w:rPr>
                <w:rFonts w:ascii="Calibri" w:hAnsi="Calibri"/>
                <w:sz w:val="20"/>
                <w:szCs w:val="20"/>
              </w:rPr>
              <w:t>Barnby</w:t>
            </w:r>
            <w:proofErr w:type="spellEnd"/>
            <w:r w:rsidRPr="007440C5">
              <w:rPr>
                <w:rFonts w:ascii="Calibri" w:hAnsi="Calibri"/>
                <w:sz w:val="20"/>
                <w:szCs w:val="20"/>
              </w:rPr>
              <w:t xml:space="preserve"> Hall</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University of Bradford</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Frizinghall</w:t>
            </w:r>
            <w:proofErr w:type="spellEnd"/>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34</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0.8%</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Arkwright Hall.</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Prodigy House</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754</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16.9%</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Wardley</w:t>
            </w:r>
            <w:proofErr w:type="spellEnd"/>
            <w:r w:rsidRPr="007440C5">
              <w:rPr>
                <w:rFonts w:ascii="Calibri" w:hAnsi="Calibri"/>
                <w:sz w:val="20"/>
                <w:szCs w:val="20"/>
              </w:rPr>
              <w:t xml:space="preserve"> House.</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Sanctuary Students</w:t>
            </w:r>
          </w:p>
        </w:tc>
        <w:tc>
          <w:tcPr>
            <w:tcW w:w="1367" w:type="dxa"/>
            <w:shd w:val="clear" w:color="auto" w:fill="auto"/>
            <w:tcMar>
              <w:top w:w="15" w:type="dxa"/>
              <w:left w:w="15" w:type="dxa"/>
              <w:bottom w:w="0" w:type="dxa"/>
              <w:right w:w="15" w:type="dxa"/>
            </w:tcMar>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290</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6.5%</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Forster Hall</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UNITE</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Shearbridge</w:t>
            </w:r>
            <w:proofErr w:type="spellEnd"/>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504</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11.3%</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Kexgill</w:t>
            </w:r>
            <w:proofErr w:type="spellEnd"/>
            <w:r w:rsidRPr="007440C5">
              <w:rPr>
                <w:rFonts w:ascii="Calibri" w:hAnsi="Calibri"/>
                <w:sz w:val="20"/>
                <w:szCs w:val="20"/>
              </w:rPr>
              <w:t xml:space="preserve"> House/Edmund Street</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Kexgill</w:t>
            </w:r>
            <w:proofErr w:type="spellEnd"/>
          </w:p>
        </w:tc>
        <w:tc>
          <w:tcPr>
            <w:tcW w:w="1367" w:type="dxa"/>
            <w:shd w:val="clear" w:color="auto" w:fill="auto"/>
            <w:tcMar>
              <w:top w:w="15" w:type="dxa"/>
              <w:left w:w="15" w:type="dxa"/>
              <w:bottom w:w="0" w:type="dxa"/>
              <w:right w:w="15" w:type="dxa"/>
            </w:tcMar>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74</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1.7%</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 House (33)</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 House Ltd</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52</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1.2%</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Haria</w:t>
            </w:r>
            <w:proofErr w:type="spellEnd"/>
            <w:r w:rsidRPr="007440C5">
              <w:rPr>
                <w:rFonts w:ascii="Calibri" w:hAnsi="Calibri"/>
                <w:sz w:val="20"/>
                <w:szCs w:val="20"/>
              </w:rPr>
              <w:t xml:space="preserve"> House/Tower</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TigerLime</w:t>
            </w:r>
            <w:proofErr w:type="spellEnd"/>
            <w:r w:rsidRPr="007440C5">
              <w:rPr>
                <w:rFonts w:ascii="Calibri" w:hAnsi="Calibri"/>
                <w:sz w:val="20"/>
                <w:szCs w:val="20"/>
              </w:rPr>
              <w:t xml:space="preserve"> Ltd</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325</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7.3%</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Laisteridge</w:t>
            </w:r>
            <w:proofErr w:type="spellEnd"/>
            <w:r w:rsidRPr="007440C5">
              <w:rPr>
                <w:rFonts w:ascii="Calibri" w:hAnsi="Calibri"/>
                <w:sz w:val="20"/>
                <w:szCs w:val="20"/>
              </w:rPr>
              <w:t xml:space="preserve"> Lane</w:t>
            </w:r>
          </w:p>
        </w:tc>
        <w:tc>
          <w:tcPr>
            <w:tcW w:w="2252"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Universal Student Living</w:t>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Shearbridge</w:t>
            </w:r>
            <w:proofErr w:type="spellEnd"/>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490</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11.0%</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Grattan Residence</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Grattan Studios</w:t>
            </w:r>
          </w:p>
        </w:tc>
        <w:tc>
          <w:tcPr>
            <w:tcW w:w="1367" w:type="dxa"/>
            <w:shd w:val="clear" w:color="auto" w:fill="auto"/>
            <w:noWrap/>
            <w:tcMar>
              <w:top w:w="15" w:type="dxa"/>
              <w:left w:w="15" w:type="dxa"/>
              <w:bottom w:w="0" w:type="dxa"/>
              <w:right w:w="15" w:type="dxa"/>
            </w:tcMar>
            <w:vAlign w:val="bottom"/>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35</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0.8%</w:t>
            </w:r>
          </w:p>
        </w:tc>
      </w:tr>
      <w:tr w:rsidR="007440C5" w:rsidRPr="007440C5" w:rsidTr="00BB288F">
        <w:trPr>
          <w:trHeight w:val="255"/>
        </w:trPr>
        <w:tc>
          <w:tcPr>
            <w:tcW w:w="2680"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 xml:space="preserve">Doris </w:t>
            </w:r>
            <w:proofErr w:type="spellStart"/>
            <w:r w:rsidRPr="007440C5">
              <w:rPr>
                <w:rFonts w:ascii="Calibri" w:hAnsi="Calibri"/>
                <w:sz w:val="20"/>
                <w:szCs w:val="20"/>
              </w:rPr>
              <w:t>Birdsall</w:t>
            </w:r>
            <w:proofErr w:type="spellEnd"/>
            <w:r w:rsidRPr="007440C5">
              <w:rPr>
                <w:rFonts w:ascii="Calibri" w:hAnsi="Calibri"/>
                <w:sz w:val="20"/>
                <w:szCs w:val="20"/>
              </w:rPr>
              <w:t xml:space="preserve"> Halls</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Bradford College</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55</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1.2%</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Appleton Point (Sept 2014)</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South Street IM Ltd</w:t>
            </w:r>
          </w:p>
        </w:tc>
        <w:tc>
          <w:tcPr>
            <w:tcW w:w="1367" w:type="dxa"/>
            <w:shd w:val="clear" w:color="auto" w:fill="auto"/>
            <w:noWrap/>
            <w:tcMar>
              <w:top w:w="15" w:type="dxa"/>
              <w:left w:w="15" w:type="dxa"/>
              <w:bottom w:w="0" w:type="dxa"/>
              <w:right w:w="15" w:type="dxa"/>
            </w:tcMar>
            <w:vAlign w:val="bottom"/>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160</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3.6%</w:t>
            </w:r>
          </w:p>
        </w:tc>
      </w:tr>
      <w:tr w:rsidR="007440C5" w:rsidRPr="007440C5" w:rsidTr="00BB288F">
        <w:trPr>
          <w:trHeight w:val="255"/>
        </w:trPr>
        <w:tc>
          <w:tcPr>
            <w:tcW w:w="4932" w:type="dxa"/>
            <w:gridSpan w:val="2"/>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Accommodation not in the Code of Standards</w:t>
            </w:r>
            <w:r w:rsidRPr="007440C5">
              <w:rPr>
                <w:rFonts w:ascii="Calibri" w:hAnsi="Calibri"/>
                <w:b/>
                <w:bCs/>
                <w:sz w:val="20"/>
                <w:szCs w:val="20"/>
                <w:vertAlign w:val="superscript"/>
              </w:rPr>
              <w:footnoteReference w:id="6"/>
            </w:r>
          </w:p>
        </w:tc>
        <w:tc>
          <w:tcPr>
            <w:tcW w:w="1367" w:type="dxa"/>
            <w:shd w:val="clear" w:color="auto" w:fill="auto"/>
            <w:tcMar>
              <w:top w:w="15" w:type="dxa"/>
              <w:left w:w="15" w:type="dxa"/>
              <w:bottom w:w="0" w:type="dxa"/>
              <w:right w:w="15" w:type="dxa"/>
            </w:tcMar>
            <w:hideMark/>
          </w:tcPr>
          <w:p w:rsidR="007440C5" w:rsidRPr="007440C5" w:rsidRDefault="007440C5" w:rsidP="007440C5">
            <w:pPr>
              <w:spacing w:after="0" w:line="312" w:lineRule="auto"/>
              <w:rPr>
                <w:rFonts w:ascii="Calibri" w:hAnsi="Calibri"/>
                <w:b/>
                <w:bCs/>
                <w:sz w:val="20"/>
                <w:szCs w:val="20"/>
              </w:rPr>
            </w:pP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673</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15.0%</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 xml:space="preserve">Malik and </w:t>
            </w:r>
            <w:proofErr w:type="spellStart"/>
            <w:r w:rsidRPr="007440C5">
              <w:rPr>
                <w:rFonts w:ascii="Calibri" w:hAnsi="Calibri"/>
                <w:sz w:val="20"/>
                <w:szCs w:val="20"/>
              </w:rPr>
              <w:t>Trigg</w:t>
            </w:r>
            <w:proofErr w:type="spellEnd"/>
            <w:r w:rsidRPr="007440C5">
              <w:rPr>
                <w:rFonts w:ascii="Calibri" w:hAnsi="Calibri"/>
                <w:sz w:val="20"/>
                <w:szCs w:val="20"/>
              </w:rPr>
              <w:t xml:space="preserve"> Halls</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Malik Halls</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Campus</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219</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4.9%</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Castle - Elm Field Villas</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Castle Ltd</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Heaton</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34</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0.8%</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Hockney</w:t>
            </w:r>
            <w:proofErr w:type="spellEnd"/>
            <w:r w:rsidRPr="007440C5">
              <w:rPr>
                <w:rFonts w:ascii="Calibri" w:hAnsi="Calibri"/>
                <w:sz w:val="20"/>
                <w:szCs w:val="20"/>
              </w:rPr>
              <w:t xml:space="preserve"> Court (pods)</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Priestley &amp; Co</w:t>
            </w:r>
          </w:p>
        </w:tc>
        <w:tc>
          <w:tcPr>
            <w:tcW w:w="1367" w:type="dxa"/>
            <w:shd w:val="clear" w:color="auto" w:fill="auto"/>
            <w:noWrap/>
            <w:tcMar>
              <w:top w:w="15" w:type="dxa"/>
              <w:left w:w="15" w:type="dxa"/>
              <w:bottom w:w="0" w:type="dxa"/>
              <w:right w:w="15" w:type="dxa"/>
            </w:tcMar>
            <w:vAlign w:val="bottom"/>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19</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0.4%</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SummerBerry</w:t>
            </w:r>
            <w:proofErr w:type="spellEnd"/>
            <w:r w:rsidRPr="007440C5">
              <w:rPr>
                <w:rFonts w:ascii="Calibri" w:hAnsi="Calibri"/>
                <w:sz w:val="20"/>
                <w:szCs w:val="20"/>
              </w:rPr>
              <w:t xml:space="preserve"> (Studios)</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Absolute Living</w:t>
            </w:r>
          </w:p>
        </w:tc>
        <w:tc>
          <w:tcPr>
            <w:tcW w:w="1367" w:type="dxa"/>
            <w:shd w:val="clear" w:color="auto" w:fill="auto"/>
            <w:noWrap/>
            <w:tcMar>
              <w:top w:w="15" w:type="dxa"/>
              <w:left w:w="15" w:type="dxa"/>
              <w:bottom w:w="0" w:type="dxa"/>
              <w:right w:w="15" w:type="dxa"/>
            </w:tcMar>
            <w:vAlign w:val="bottom"/>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160</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3.6%</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 xml:space="preserve">Castle - </w:t>
            </w:r>
            <w:proofErr w:type="spellStart"/>
            <w:r w:rsidRPr="007440C5">
              <w:rPr>
                <w:rFonts w:ascii="Calibri" w:hAnsi="Calibri"/>
                <w:sz w:val="20"/>
                <w:szCs w:val="20"/>
              </w:rPr>
              <w:t>Challow</w:t>
            </w:r>
            <w:proofErr w:type="spellEnd"/>
            <w:r w:rsidRPr="007440C5">
              <w:rPr>
                <w:rFonts w:ascii="Calibri" w:hAnsi="Calibri"/>
                <w:sz w:val="20"/>
                <w:szCs w:val="20"/>
              </w:rPr>
              <w:t xml:space="preserve"> Field Court</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Castle Ltd</w:t>
            </w: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Heaton</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21</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0.5%</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proofErr w:type="spellStart"/>
            <w:r w:rsidRPr="007440C5">
              <w:rPr>
                <w:rFonts w:ascii="Calibri" w:hAnsi="Calibri"/>
                <w:sz w:val="20"/>
                <w:szCs w:val="20"/>
              </w:rPr>
              <w:t>Sunbridge</w:t>
            </w:r>
            <w:proofErr w:type="spellEnd"/>
            <w:r w:rsidRPr="007440C5">
              <w:rPr>
                <w:rFonts w:ascii="Calibri" w:hAnsi="Calibri"/>
                <w:sz w:val="20"/>
                <w:szCs w:val="20"/>
              </w:rPr>
              <w:t xml:space="preserve"> Halls (Pods - 2014)</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sz w:val="20"/>
                <w:szCs w:val="20"/>
              </w:rPr>
            </w:pPr>
            <w:r w:rsidRPr="007440C5">
              <w:rPr>
                <w:rFonts w:ascii="Calibri" w:hAnsi="Calibri"/>
                <w:sz w:val="20"/>
                <w:szCs w:val="20"/>
              </w:rPr>
              <w:t>Daniel Jones/</w:t>
            </w:r>
            <w:proofErr w:type="spellStart"/>
            <w:r w:rsidRPr="007440C5">
              <w:rPr>
                <w:rFonts w:ascii="Calibri" w:hAnsi="Calibri"/>
                <w:sz w:val="20"/>
                <w:szCs w:val="20"/>
              </w:rPr>
              <w:t>Proudfoot</w:t>
            </w:r>
            <w:proofErr w:type="spellEnd"/>
          </w:p>
        </w:tc>
        <w:tc>
          <w:tcPr>
            <w:tcW w:w="1367" w:type="dxa"/>
            <w:shd w:val="clear" w:color="auto" w:fill="auto"/>
            <w:noWrap/>
            <w:tcMar>
              <w:top w:w="15" w:type="dxa"/>
              <w:left w:w="15" w:type="dxa"/>
              <w:bottom w:w="0" w:type="dxa"/>
              <w:right w:w="15" w:type="dxa"/>
            </w:tcMar>
            <w:vAlign w:val="bottom"/>
            <w:hideMark/>
          </w:tcPr>
          <w:p w:rsidR="007440C5" w:rsidRPr="007440C5" w:rsidRDefault="00823130" w:rsidP="007440C5">
            <w:pPr>
              <w:spacing w:after="0" w:line="312" w:lineRule="auto"/>
              <w:rPr>
                <w:rFonts w:ascii="Calibri" w:hAnsi="Calibri"/>
                <w:sz w:val="20"/>
                <w:szCs w:val="20"/>
              </w:rPr>
            </w:pPr>
            <w:r>
              <w:rPr>
                <w:rFonts w:ascii="Calibri" w:hAnsi="Calibri"/>
                <w:sz w:val="20"/>
                <w:szCs w:val="20"/>
              </w:rPr>
              <w:t>City c</w:t>
            </w:r>
            <w:r w:rsidR="007440C5" w:rsidRPr="007440C5">
              <w:rPr>
                <w:rFonts w:ascii="Calibri" w:hAnsi="Calibri"/>
                <w:sz w:val="20"/>
                <w:szCs w:val="20"/>
              </w:rPr>
              <w:t>entre</w:t>
            </w: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220</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sz w:val="20"/>
                <w:szCs w:val="20"/>
              </w:rPr>
            </w:pPr>
            <w:r w:rsidRPr="007440C5">
              <w:rPr>
                <w:rFonts w:ascii="Calibri" w:hAnsi="Calibri"/>
                <w:sz w:val="20"/>
                <w:szCs w:val="20"/>
              </w:rPr>
              <w:t>4.9%</w:t>
            </w:r>
          </w:p>
        </w:tc>
      </w:tr>
      <w:tr w:rsidR="007440C5" w:rsidRPr="007440C5" w:rsidTr="00BB288F">
        <w:trPr>
          <w:trHeight w:val="255"/>
        </w:trPr>
        <w:tc>
          <w:tcPr>
            <w:tcW w:w="0" w:type="auto"/>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b/>
                <w:bCs/>
                <w:sz w:val="20"/>
                <w:szCs w:val="20"/>
              </w:rPr>
            </w:pPr>
            <w:r w:rsidRPr="007440C5">
              <w:rPr>
                <w:rFonts w:ascii="Calibri" w:hAnsi="Calibri"/>
                <w:b/>
                <w:bCs/>
                <w:sz w:val="20"/>
                <w:szCs w:val="20"/>
              </w:rPr>
              <w:t>All Purpose Built</w:t>
            </w:r>
          </w:p>
        </w:tc>
        <w:tc>
          <w:tcPr>
            <w:tcW w:w="2252"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b/>
                <w:bCs/>
                <w:sz w:val="20"/>
                <w:szCs w:val="20"/>
              </w:rPr>
            </w:pPr>
          </w:p>
        </w:tc>
        <w:tc>
          <w:tcPr>
            <w:tcW w:w="1367"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rPr>
                <w:rFonts w:ascii="Calibri" w:hAnsi="Calibri"/>
                <w:b/>
                <w:bCs/>
                <w:sz w:val="20"/>
                <w:szCs w:val="20"/>
              </w:rPr>
            </w:pPr>
          </w:p>
        </w:tc>
        <w:tc>
          <w:tcPr>
            <w:tcW w:w="90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4,472</w:t>
            </w:r>
          </w:p>
        </w:tc>
        <w:tc>
          <w:tcPr>
            <w:tcW w:w="851" w:type="dxa"/>
            <w:shd w:val="clear" w:color="auto" w:fill="auto"/>
            <w:noWrap/>
            <w:tcMar>
              <w:top w:w="15" w:type="dxa"/>
              <w:left w:w="15" w:type="dxa"/>
              <w:bottom w:w="0" w:type="dxa"/>
              <w:right w:w="15" w:type="dxa"/>
            </w:tcMar>
            <w:vAlign w:val="bottom"/>
            <w:hideMark/>
          </w:tcPr>
          <w:p w:rsidR="007440C5" w:rsidRPr="007440C5" w:rsidRDefault="007440C5" w:rsidP="007440C5">
            <w:pPr>
              <w:spacing w:after="0" w:line="312" w:lineRule="auto"/>
              <w:jc w:val="center"/>
              <w:rPr>
                <w:rFonts w:ascii="Calibri" w:hAnsi="Calibri"/>
                <w:b/>
                <w:bCs/>
                <w:sz w:val="20"/>
                <w:szCs w:val="20"/>
              </w:rPr>
            </w:pPr>
            <w:r w:rsidRPr="007440C5">
              <w:rPr>
                <w:rFonts w:ascii="Calibri" w:hAnsi="Calibri"/>
                <w:b/>
                <w:bCs/>
                <w:sz w:val="20"/>
                <w:szCs w:val="20"/>
              </w:rPr>
              <w:t>100.0%</w:t>
            </w:r>
          </w:p>
        </w:tc>
      </w:tr>
    </w:tbl>
    <w:p w:rsidR="007440C5" w:rsidRPr="007440C5" w:rsidRDefault="007440C5" w:rsidP="007440C5">
      <w:pPr>
        <w:ind w:left="720" w:firstLine="45"/>
        <w:rPr>
          <w:rFonts w:ascii="Calibri" w:eastAsia="Times New Roman" w:hAnsi="Calibri" w:cs="Arial"/>
          <w:sz w:val="18"/>
          <w:szCs w:val="20"/>
          <w:lang w:eastAsia="en-GB"/>
        </w:rPr>
      </w:pPr>
      <w:r w:rsidRPr="007440C5">
        <w:rPr>
          <w:sz w:val="18"/>
        </w:rPr>
        <w:lastRenderedPageBreak/>
        <w:t>(</w:t>
      </w:r>
      <w:r w:rsidRPr="007440C5">
        <w:rPr>
          <w:i/>
          <w:sz w:val="18"/>
        </w:rPr>
        <w:t xml:space="preserve">Source:  Unipol 2014)    </w:t>
      </w:r>
    </w:p>
    <w:p w:rsidR="007440C5" w:rsidRPr="007440C5" w:rsidRDefault="007440C5" w:rsidP="007440C5">
      <w:pPr>
        <w:ind w:left="720"/>
      </w:pPr>
      <w:r w:rsidRPr="007440C5">
        <w:t xml:space="preserve">Most PBSA provision is located on the University campus or in the city centre or in adjoining </w:t>
      </w:r>
      <w:proofErr w:type="spellStart"/>
      <w:r w:rsidRPr="007440C5">
        <w:t>Shearbridge</w:t>
      </w:r>
      <w:proofErr w:type="spellEnd"/>
      <w:r w:rsidRPr="007440C5">
        <w:t xml:space="preserve">.  Three provisions (Vernon </w:t>
      </w:r>
      <w:proofErr w:type="spellStart"/>
      <w:r w:rsidRPr="007440C5">
        <w:t>Barnby</w:t>
      </w:r>
      <w:proofErr w:type="spellEnd"/>
      <w:r w:rsidRPr="007440C5">
        <w:t xml:space="preserve">, </w:t>
      </w:r>
      <w:proofErr w:type="spellStart"/>
      <w:r w:rsidRPr="007440C5">
        <w:t>Challowfield</w:t>
      </w:r>
      <w:proofErr w:type="spellEnd"/>
      <w:r w:rsidRPr="007440C5">
        <w:t xml:space="preserve"> Court and Elm Field Villas) are located in </w:t>
      </w:r>
      <w:proofErr w:type="spellStart"/>
      <w:r w:rsidRPr="007440C5">
        <w:t>Frizinghall</w:t>
      </w:r>
      <w:proofErr w:type="spellEnd"/>
      <w:r w:rsidRPr="007440C5">
        <w:t xml:space="preserve"> and Heaton respectively, and aim to serve the University </w:t>
      </w:r>
      <w:proofErr w:type="gramStart"/>
      <w:r w:rsidRPr="007440C5">
        <w:t>of</w:t>
      </w:r>
      <w:proofErr w:type="gramEnd"/>
      <w:r w:rsidRPr="007440C5">
        <w:t xml:space="preserve"> Bradford Business School, located in </w:t>
      </w:r>
      <w:proofErr w:type="spellStart"/>
      <w:r w:rsidRPr="007440C5">
        <w:t>Frizinghall</w:t>
      </w:r>
      <w:proofErr w:type="spellEnd"/>
      <w:r w:rsidRPr="007440C5">
        <w:t>.</w:t>
      </w:r>
    </w:p>
    <w:p w:rsidR="007440C5" w:rsidRPr="007440C5" w:rsidRDefault="007440C5" w:rsidP="007440C5">
      <w:pPr>
        <w:ind w:left="720"/>
        <w:rPr>
          <w:i/>
        </w:rPr>
      </w:pPr>
      <w:r w:rsidRPr="007440C5">
        <w:rPr>
          <w:i/>
        </w:rPr>
        <w:t>Table 12: Rents for PBSA 2014</w:t>
      </w:r>
    </w:p>
    <w:tbl>
      <w:tblPr>
        <w:tblW w:w="7655"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52"/>
        <w:gridCol w:w="1275"/>
        <w:gridCol w:w="1276"/>
        <w:gridCol w:w="1276"/>
        <w:gridCol w:w="1276"/>
      </w:tblGrid>
      <w:tr w:rsidR="007440C5" w:rsidRPr="007440C5" w:rsidTr="00BB288F">
        <w:trPr>
          <w:trHeight w:val="600"/>
        </w:trPr>
        <w:tc>
          <w:tcPr>
            <w:tcW w:w="2552" w:type="dxa"/>
            <w:shd w:val="clear" w:color="auto" w:fill="auto"/>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
        </w:tc>
        <w:tc>
          <w:tcPr>
            <w:tcW w:w="1275"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Standard/ standard + room</w:t>
            </w:r>
          </w:p>
        </w:tc>
        <w:tc>
          <w:tcPr>
            <w:tcW w:w="1276"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proofErr w:type="spellStart"/>
            <w:r w:rsidRPr="007440C5">
              <w:rPr>
                <w:rFonts w:ascii="Calibri" w:eastAsia="Times New Roman" w:hAnsi="Calibri" w:cs="Times New Roman"/>
                <w:b/>
                <w:bCs/>
                <w:color w:val="000000"/>
                <w:sz w:val="20"/>
                <w:lang w:eastAsia="en-GB"/>
              </w:rPr>
              <w:t>Ensuite</w:t>
            </w:r>
            <w:proofErr w:type="spellEnd"/>
            <w:r w:rsidRPr="007440C5">
              <w:rPr>
                <w:rFonts w:ascii="Calibri" w:eastAsia="Times New Roman" w:hAnsi="Calibri" w:cs="Times New Roman"/>
                <w:b/>
                <w:bCs/>
                <w:color w:val="000000"/>
                <w:sz w:val="20"/>
                <w:lang w:eastAsia="en-GB"/>
              </w:rPr>
              <w:t xml:space="preserve">/ </w:t>
            </w:r>
            <w:proofErr w:type="spellStart"/>
            <w:r w:rsidRPr="007440C5">
              <w:rPr>
                <w:rFonts w:ascii="Calibri" w:eastAsia="Times New Roman" w:hAnsi="Calibri" w:cs="Times New Roman"/>
                <w:b/>
                <w:bCs/>
                <w:color w:val="000000"/>
                <w:sz w:val="20"/>
                <w:lang w:eastAsia="en-GB"/>
              </w:rPr>
              <w:t>ensuite</w:t>
            </w:r>
            <w:proofErr w:type="spellEnd"/>
            <w:r w:rsidRPr="007440C5">
              <w:rPr>
                <w:rFonts w:ascii="Calibri" w:eastAsia="Times New Roman" w:hAnsi="Calibri" w:cs="Times New Roman"/>
                <w:b/>
                <w:bCs/>
                <w:color w:val="000000"/>
                <w:sz w:val="20"/>
                <w:lang w:eastAsia="en-GB"/>
              </w:rPr>
              <w:t xml:space="preserve"> +</w:t>
            </w:r>
          </w:p>
        </w:tc>
        <w:tc>
          <w:tcPr>
            <w:tcW w:w="1276"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Studio/ large studio</w:t>
            </w:r>
          </w:p>
        </w:tc>
        <w:tc>
          <w:tcPr>
            <w:tcW w:w="1276"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Town house</w:t>
            </w: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The Green</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£108</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£100</w:t>
            </w: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Vernon </w:t>
            </w:r>
            <w:proofErr w:type="spellStart"/>
            <w:r w:rsidRPr="007440C5">
              <w:rPr>
                <w:rFonts w:ascii="Calibri" w:eastAsia="Times New Roman" w:hAnsi="Calibri" w:cs="Times New Roman"/>
                <w:color w:val="000000"/>
                <w:sz w:val="20"/>
                <w:lang w:eastAsia="en-GB"/>
              </w:rPr>
              <w:t>Barnby</w:t>
            </w:r>
            <w:proofErr w:type="spellEnd"/>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£89</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Doris </w:t>
            </w:r>
            <w:proofErr w:type="spellStart"/>
            <w:r w:rsidRPr="007440C5">
              <w:rPr>
                <w:rFonts w:ascii="Calibri" w:eastAsia="Times New Roman" w:hAnsi="Calibri" w:cs="Times New Roman"/>
                <w:color w:val="000000"/>
                <w:sz w:val="20"/>
                <w:lang w:eastAsia="en-GB"/>
              </w:rPr>
              <w:t>Birdsall</w:t>
            </w:r>
            <w:proofErr w:type="spellEnd"/>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£81</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Haria</w:t>
            </w:r>
            <w:proofErr w:type="spellEnd"/>
            <w:r w:rsidRPr="007440C5">
              <w:rPr>
                <w:rFonts w:ascii="Calibri" w:eastAsia="Times New Roman" w:hAnsi="Calibri" w:cs="Times New Roman"/>
                <w:color w:val="000000"/>
                <w:sz w:val="20"/>
                <w:lang w:eastAsia="en-GB"/>
              </w:rPr>
              <w:t xml:space="preserve"> House/Tower</w:t>
            </w:r>
          </w:p>
        </w:tc>
        <w:tc>
          <w:tcPr>
            <w:tcW w:w="127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£77-£95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£110-£140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Forster Hall</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£75-£95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£140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Laisterdge</w:t>
            </w:r>
            <w:proofErr w:type="spellEnd"/>
            <w:r w:rsidRPr="007440C5">
              <w:rPr>
                <w:rFonts w:ascii="Calibri" w:eastAsia="Times New Roman" w:hAnsi="Calibri" w:cs="Times New Roman"/>
                <w:color w:val="000000"/>
                <w:sz w:val="20"/>
                <w:lang w:eastAsia="en-GB"/>
              </w:rPr>
              <w:t xml:space="preserve"> Lane Halls</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£50-£55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£65-£75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£100-£105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Malik Halls</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£60-£65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Arkwright Hall</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£75-£94</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£149</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Campus House</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£110-£125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Wardsley</w:t>
            </w:r>
            <w:proofErr w:type="spellEnd"/>
            <w:r w:rsidRPr="007440C5">
              <w:rPr>
                <w:rFonts w:ascii="Calibri" w:eastAsia="Times New Roman" w:hAnsi="Calibri" w:cs="Times New Roman"/>
                <w:color w:val="000000"/>
                <w:sz w:val="20"/>
                <w:lang w:eastAsia="en-GB"/>
              </w:rPr>
              <w:t xml:space="preserve"> House</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£78</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Gratton</w:t>
            </w:r>
            <w:proofErr w:type="spellEnd"/>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£100-£140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Castle Residences</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£63-£87</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SummerBerry</w:t>
            </w:r>
            <w:proofErr w:type="spellEnd"/>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£85-£100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Appleton Point</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£99-£155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Sunbridge</w:t>
            </w:r>
            <w:proofErr w:type="spellEnd"/>
            <w:r w:rsidRPr="007440C5">
              <w:rPr>
                <w:rFonts w:ascii="Calibri" w:eastAsia="Times New Roman" w:hAnsi="Calibri" w:cs="Times New Roman"/>
                <w:color w:val="000000"/>
                <w:sz w:val="20"/>
                <w:lang w:eastAsia="en-GB"/>
              </w:rPr>
              <w:t xml:space="preserve"> Halls</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£115</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r>
      <w:tr w:rsidR="007440C5" w:rsidRPr="007440C5" w:rsidTr="00BB288F">
        <w:trPr>
          <w:trHeight w:val="300"/>
        </w:trPr>
        <w:tc>
          <w:tcPr>
            <w:tcW w:w="255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w:t>
            </w:r>
          </w:p>
        </w:tc>
        <w:tc>
          <w:tcPr>
            <w:tcW w:w="1275"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£50-£60</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£60-£108</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£85-£149</w:t>
            </w:r>
          </w:p>
        </w:tc>
        <w:tc>
          <w:tcPr>
            <w:tcW w:w="1276"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w:t>
            </w:r>
          </w:p>
        </w:tc>
      </w:tr>
    </w:tbl>
    <w:p w:rsidR="007440C5" w:rsidRPr="007440C5" w:rsidRDefault="007440C5" w:rsidP="007440C5">
      <w:pPr>
        <w:ind w:left="720"/>
        <w:rPr>
          <w:sz w:val="18"/>
        </w:rPr>
      </w:pPr>
      <w:r w:rsidRPr="007440C5">
        <w:rPr>
          <w:sz w:val="18"/>
        </w:rPr>
        <w:t>(</w:t>
      </w:r>
      <w:r w:rsidRPr="007440C5">
        <w:rPr>
          <w:i/>
          <w:sz w:val="18"/>
        </w:rPr>
        <w:t>Source:  Unipol, Accommodation Provider websites 2014</w:t>
      </w:r>
      <w:r w:rsidRPr="007440C5">
        <w:rPr>
          <w:sz w:val="18"/>
        </w:rPr>
        <w:t>)</w:t>
      </w:r>
    </w:p>
    <w:p w:rsidR="00EC3CF1" w:rsidRDefault="007440C5" w:rsidP="00EC3CF1">
      <w:pPr>
        <w:tabs>
          <w:tab w:val="left" w:pos="6237"/>
        </w:tabs>
        <w:spacing w:after="0" w:line="288" w:lineRule="auto"/>
        <w:ind w:left="720"/>
      </w:pPr>
      <w:proofErr w:type="gramStart"/>
      <w:r w:rsidRPr="007440C5">
        <w:t>Table 12 shows that rents</w:t>
      </w:r>
      <w:proofErr w:type="gramEnd"/>
      <w:r w:rsidRPr="007440C5">
        <w:t xml:space="preserve"> in PBSA developments range from £50 per week for a standard room in the</w:t>
      </w:r>
      <w:r w:rsidR="00D0697F">
        <w:t xml:space="preserve"> Dennis Bellamy Hall on </w:t>
      </w:r>
      <w:proofErr w:type="spellStart"/>
      <w:r w:rsidR="00D0697F">
        <w:t>Laisteri</w:t>
      </w:r>
      <w:r w:rsidRPr="007440C5">
        <w:t>dge</w:t>
      </w:r>
      <w:proofErr w:type="spellEnd"/>
      <w:r w:rsidRPr="007440C5">
        <w:t xml:space="preserve"> Lane to £149 per week for a studio in Arkwright Hall.  The average </w:t>
      </w:r>
      <w:proofErr w:type="spellStart"/>
      <w:r w:rsidRPr="007440C5">
        <w:t>ensuite</w:t>
      </w:r>
      <w:proofErr w:type="spellEnd"/>
      <w:r w:rsidRPr="007440C5">
        <w:t xml:space="preserve"> room in a large development was between £60 (Malik Halls) and £108 per week (The Green). Rents at l</w:t>
      </w:r>
      <w:r w:rsidR="00D0697F">
        <w:t>arge developments increased by five per cent</w:t>
      </w:r>
      <w:r w:rsidRPr="007440C5">
        <w:t xml:space="preserve"> between 2012 and 2013. Ave</w:t>
      </w:r>
      <w:r w:rsidR="00EC3CF1">
        <w:t xml:space="preserve">rage rents for new city centre </w:t>
      </w:r>
      <w:r w:rsidRPr="007440C5">
        <w:t>studio</w:t>
      </w:r>
      <w:r w:rsidR="00EC3CF1">
        <w:t xml:space="preserve"> or ‘pod’</w:t>
      </w:r>
      <w:r w:rsidRPr="007440C5">
        <w:t xml:space="preserve"> developments increased by 36 per cent between 2012 and 2013. This places rents for PBSA at a considerably higher level than off-street shared housing.</w:t>
      </w:r>
    </w:p>
    <w:p w:rsidR="00EC3CF1" w:rsidRDefault="00EC3CF1" w:rsidP="00EC3CF1">
      <w:pPr>
        <w:tabs>
          <w:tab w:val="left" w:pos="6237"/>
        </w:tabs>
        <w:spacing w:after="0" w:line="288" w:lineRule="auto"/>
        <w:ind w:left="720"/>
      </w:pPr>
    </w:p>
    <w:p w:rsidR="00EC3CF1" w:rsidRDefault="007440C5" w:rsidP="00EC3CF1">
      <w:pPr>
        <w:tabs>
          <w:tab w:val="left" w:pos="6237"/>
        </w:tabs>
        <w:spacing w:after="100" w:afterAutospacing="1" w:line="288" w:lineRule="auto"/>
        <w:ind w:left="720"/>
      </w:pPr>
      <w:r w:rsidRPr="007440C5">
        <w:t>The new student housing d</w:t>
      </w:r>
      <w:r w:rsidR="00655CCC">
        <w:t>evelopments being developed by non-traditional</w:t>
      </w:r>
      <w:r w:rsidRPr="007440C5">
        <w:t xml:space="preserve"> developers </w:t>
      </w:r>
      <w:r w:rsidR="00655CCC">
        <w:t xml:space="preserve">could be seen as </w:t>
      </w:r>
      <w:r w:rsidRPr="007440C5">
        <w:t xml:space="preserve">investment opportunities as </w:t>
      </w:r>
      <w:r w:rsidR="00655CCC">
        <w:t>much as they are means of meeting</w:t>
      </w:r>
      <w:r w:rsidRPr="007440C5">
        <w:t xml:space="preserve"> student accommodation needs. Appleton </w:t>
      </w:r>
      <w:r w:rsidR="00EC3CF1">
        <w:t>Point describes itself as the ‘</w:t>
      </w:r>
      <w:r w:rsidRPr="007440C5">
        <w:t>A</w:t>
      </w:r>
      <w:r w:rsidRPr="007440C5">
        <w:rPr>
          <w:rFonts w:eastAsia="Times New Roman" w:cs="Tahoma"/>
          <w:bCs/>
          <w:kern w:val="36"/>
          <w:lang w:eastAsia="en-GB"/>
        </w:rPr>
        <w:t>ppleton Point Investment Opportunity’ offering  an opport</w:t>
      </w:r>
      <w:r w:rsidR="00655CCC">
        <w:rPr>
          <w:rFonts w:eastAsia="Times New Roman" w:cs="Tahoma"/>
          <w:bCs/>
          <w:kern w:val="36"/>
          <w:lang w:eastAsia="en-GB"/>
        </w:rPr>
        <w:t>unity to reserve units on a 999-</w:t>
      </w:r>
      <w:r w:rsidRPr="007440C5">
        <w:rPr>
          <w:rFonts w:eastAsia="Times New Roman" w:cs="Tahoma"/>
          <w:bCs/>
          <w:kern w:val="36"/>
          <w:lang w:eastAsia="en-GB"/>
        </w:rPr>
        <w:t xml:space="preserve">year lease for £5,000 with </w:t>
      </w:r>
      <w:r w:rsidR="00655CCC">
        <w:rPr>
          <w:rFonts w:eastAsia="Times New Roman" w:cs="Tahoma"/>
          <w:bCs/>
          <w:kern w:val="36"/>
          <w:lang w:eastAsia="en-GB"/>
        </w:rPr>
        <w:t>nine per cent</w:t>
      </w:r>
      <w:r w:rsidRPr="007440C5">
        <w:rPr>
          <w:rFonts w:eastAsia="Times New Roman" w:cs="Tahoma"/>
          <w:bCs/>
          <w:lang w:eastAsia="en-GB"/>
        </w:rPr>
        <w:t xml:space="preserve"> net yields assured for </w:t>
      </w:r>
      <w:r w:rsidR="00655CCC">
        <w:rPr>
          <w:rFonts w:eastAsia="Times New Roman" w:cs="Tahoma"/>
          <w:bCs/>
          <w:lang w:eastAsia="en-GB"/>
        </w:rPr>
        <w:t>five</w:t>
      </w:r>
      <w:r w:rsidRPr="007440C5">
        <w:rPr>
          <w:rFonts w:eastAsia="Times New Roman" w:cs="Tahoma"/>
          <w:bCs/>
          <w:lang w:eastAsia="en-GB"/>
        </w:rPr>
        <w:t xml:space="preserve"> years,  </w:t>
      </w:r>
      <w:r w:rsidRPr="007440C5">
        <w:rPr>
          <w:rFonts w:eastAsia="Times New Roman" w:cs="Tahoma"/>
          <w:lang w:eastAsia="en-GB"/>
        </w:rPr>
        <w:t>interest paid on deposit providing immediate returns and an e</w:t>
      </w:r>
      <w:r w:rsidRPr="007440C5">
        <w:rPr>
          <w:rFonts w:eastAsia="Times New Roman" w:cs="Tahoma"/>
          <w:bCs/>
          <w:lang w:eastAsia="en-GB"/>
        </w:rPr>
        <w:t>xit strategy with £18,000 minimum profit</w:t>
      </w:r>
      <w:r w:rsidRPr="007440C5">
        <w:rPr>
          <w:rFonts w:eastAsia="Times New Roman" w:cs="Tahoma"/>
          <w:bCs/>
          <w:vertAlign w:val="superscript"/>
          <w:lang w:eastAsia="en-GB"/>
        </w:rPr>
        <w:footnoteReference w:id="7"/>
      </w:r>
      <w:r w:rsidRPr="007440C5">
        <w:rPr>
          <w:rFonts w:eastAsia="Times New Roman" w:cs="Tahoma"/>
          <w:bCs/>
          <w:lang w:eastAsia="en-GB"/>
        </w:rPr>
        <w:t xml:space="preserve">. </w:t>
      </w:r>
      <w:r w:rsidRPr="007440C5">
        <w:rPr>
          <w:bCs/>
        </w:rPr>
        <w:t xml:space="preserve">Promotional information </w:t>
      </w:r>
      <w:r w:rsidR="00EC3CF1">
        <w:rPr>
          <w:bCs/>
        </w:rPr>
        <w:t xml:space="preserve">for </w:t>
      </w:r>
      <w:proofErr w:type="spellStart"/>
      <w:r w:rsidR="00EC3CF1">
        <w:rPr>
          <w:bCs/>
        </w:rPr>
        <w:t>Sunbridge</w:t>
      </w:r>
      <w:proofErr w:type="spellEnd"/>
      <w:r w:rsidR="00EC3CF1">
        <w:rPr>
          <w:bCs/>
        </w:rPr>
        <w:t xml:space="preserve"> Halls </w:t>
      </w:r>
      <w:proofErr w:type="gramStart"/>
      <w:r w:rsidR="00EC3CF1">
        <w:rPr>
          <w:bCs/>
        </w:rPr>
        <w:t>refers  to</w:t>
      </w:r>
      <w:proofErr w:type="gramEnd"/>
      <w:r w:rsidR="00EC3CF1">
        <w:rPr>
          <w:bCs/>
        </w:rPr>
        <w:t xml:space="preserve"> ‘</w:t>
      </w:r>
      <w:r w:rsidRPr="007440C5">
        <w:rPr>
          <w:bCs/>
        </w:rPr>
        <w:t xml:space="preserve">student accommodation – the </w:t>
      </w:r>
      <w:r w:rsidRPr="007440C5">
        <w:t>no. 1 choice fo</w:t>
      </w:r>
      <w:r w:rsidR="00EC3CF1">
        <w:t>r property investment in the UK’</w:t>
      </w:r>
      <w:r w:rsidRPr="007440C5">
        <w:t xml:space="preserve"> and that</w:t>
      </w:r>
      <w:r w:rsidR="00EC3CF1">
        <w:rPr>
          <w:b/>
        </w:rPr>
        <w:t xml:space="preserve"> ‘</w:t>
      </w:r>
      <w:r w:rsidRPr="007440C5">
        <w:t xml:space="preserve">for the past </w:t>
      </w:r>
      <w:r w:rsidR="00EC3CF1">
        <w:t>five</w:t>
      </w:r>
      <w:r w:rsidRPr="007440C5">
        <w:t xml:space="preserve"> years student accommodation has been the strongest growing investment property market in the UK, with Knight </w:t>
      </w:r>
      <w:r w:rsidRPr="007440C5">
        <w:lastRenderedPageBreak/>
        <w:t>Frank reporting a rental growth of 5</w:t>
      </w:r>
      <w:r w:rsidR="00EC3CF1">
        <w:t xml:space="preserve"> per cent </w:t>
      </w:r>
      <w:r w:rsidRPr="007440C5">
        <w:t>p</w:t>
      </w:r>
      <w:r w:rsidR="00EC3CF1">
        <w:t>.</w:t>
      </w:r>
      <w:r w:rsidRPr="007440C5">
        <w:t>a</w:t>
      </w:r>
      <w:r w:rsidR="00EC3CF1">
        <w:t>.</w:t>
      </w:r>
      <w:r w:rsidRPr="007440C5">
        <w:t xml:space="preserve"> over this period, compared to 0.6</w:t>
      </w:r>
      <w:r w:rsidR="00EC3CF1">
        <w:t xml:space="preserve"> per cent for commercial property’</w:t>
      </w:r>
      <w:r w:rsidRPr="007440C5">
        <w:t xml:space="preserve">. </w:t>
      </w:r>
      <w:r w:rsidRPr="007440C5">
        <w:rPr>
          <w:vertAlign w:val="superscript"/>
        </w:rPr>
        <w:footnoteReference w:id="8"/>
      </w:r>
    </w:p>
    <w:p w:rsidR="007440C5" w:rsidRPr="007440C5" w:rsidRDefault="007440C5" w:rsidP="00EC3CF1">
      <w:pPr>
        <w:tabs>
          <w:tab w:val="left" w:pos="6237"/>
        </w:tabs>
        <w:spacing w:after="100" w:afterAutospacing="1" w:line="288" w:lineRule="auto"/>
        <w:ind w:left="720"/>
      </w:pPr>
      <w:r w:rsidRPr="007440C5">
        <w:rPr>
          <w:rFonts w:eastAsia="Times New Roman" w:cs="Tahoma"/>
          <w:bCs/>
          <w:lang w:eastAsia="en-GB"/>
        </w:rPr>
        <w:t>The promotional information for these schemes have a tendency to overstate the numbers of students in Bradford</w:t>
      </w:r>
      <w:r w:rsidRPr="007440C5">
        <w:rPr>
          <w:rFonts w:eastAsia="Times New Roman" w:cs="Tahoma"/>
          <w:lang w:eastAsia="en-GB"/>
        </w:rPr>
        <w:t xml:space="preserve"> </w:t>
      </w:r>
      <w:r w:rsidRPr="007440C5">
        <w:rPr>
          <w:rFonts w:eastAsia="Times New Roman" w:cs="Tahoma"/>
          <w:vertAlign w:val="superscript"/>
          <w:lang w:eastAsia="en-GB"/>
        </w:rPr>
        <w:footnoteReference w:id="9"/>
      </w:r>
      <w:r w:rsidR="00655CCC">
        <w:rPr>
          <w:rFonts w:eastAsia="Times New Roman" w:cs="Tahoma"/>
          <w:lang w:eastAsia="en-GB"/>
        </w:rPr>
        <w:t xml:space="preserve"> </w:t>
      </w:r>
      <w:r w:rsidRPr="007440C5">
        <w:rPr>
          <w:rFonts w:eastAsia="Times New Roman" w:cs="Tahoma"/>
          <w:lang w:eastAsia="en-GB"/>
        </w:rPr>
        <w:t>(Appleton Point state</w:t>
      </w:r>
      <w:r w:rsidR="00655CCC">
        <w:rPr>
          <w:rFonts w:eastAsia="Times New Roman" w:cs="Tahoma"/>
          <w:lang w:eastAsia="en-GB"/>
        </w:rPr>
        <w:t>s</w:t>
      </w:r>
      <w:r w:rsidRPr="007440C5">
        <w:rPr>
          <w:rFonts w:eastAsia="Times New Roman" w:cs="Tahoma"/>
          <w:lang w:eastAsia="en-GB"/>
        </w:rPr>
        <w:t xml:space="preserve"> </w:t>
      </w:r>
      <w:r w:rsidR="00655CCC">
        <w:rPr>
          <w:rFonts w:eastAsia="Times New Roman" w:cs="Tahoma"/>
          <w:lang w:eastAsia="en-GB"/>
        </w:rPr>
        <w:t xml:space="preserve">that </w:t>
      </w:r>
      <w:r w:rsidRPr="007440C5">
        <w:rPr>
          <w:rFonts w:eastAsia="Times New Roman" w:cs="Tahoma"/>
          <w:lang w:eastAsia="en-GB"/>
        </w:rPr>
        <w:t xml:space="preserve">there are  37,000 students in Bradford and </w:t>
      </w:r>
      <w:proofErr w:type="spellStart"/>
      <w:r w:rsidRPr="007440C5">
        <w:rPr>
          <w:rFonts w:eastAsia="Times New Roman" w:cs="Tahoma"/>
          <w:lang w:eastAsia="en-GB"/>
        </w:rPr>
        <w:t>Sum</w:t>
      </w:r>
      <w:r w:rsidR="00655CCC">
        <w:rPr>
          <w:rFonts w:eastAsia="Times New Roman" w:cs="Tahoma"/>
          <w:lang w:eastAsia="en-GB"/>
        </w:rPr>
        <w:t>merBerry</w:t>
      </w:r>
      <w:proofErr w:type="spellEnd"/>
      <w:r w:rsidR="00655CCC">
        <w:rPr>
          <w:rFonts w:eastAsia="Times New Roman" w:cs="Tahoma"/>
          <w:lang w:eastAsia="en-GB"/>
        </w:rPr>
        <w:t xml:space="preserve"> Residences claims that </w:t>
      </w:r>
      <w:r w:rsidRPr="007440C5">
        <w:rPr>
          <w:rFonts w:eastAsia="Times New Roman" w:cs="Tahoma"/>
          <w:lang w:eastAsia="en-GB"/>
        </w:rPr>
        <w:t>Brad</w:t>
      </w:r>
      <w:r w:rsidR="00655CCC">
        <w:rPr>
          <w:rFonts w:eastAsia="Times New Roman" w:cs="Tahoma"/>
          <w:lang w:eastAsia="en-GB"/>
        </w:rPr>
        <w:t xml:space="preserve">ford is host to over 40,000 students, </w:t>
      </w:r>
      <w:r w:rsidRPr="007440C5">
        <w:rPr>
          <w:rFonts w:eastAsia="Times New Roman" w:cs="Tahoma"/>
          <w:lang w:eastAsia="en-GB"/>
        </w:rPr>
        <w:t xml:space="preserve">with the University </w:t>
      </w:r>
      <w:r w:rsidR="00655CCC">
        <w:rPr>
          <w:rFonts w:eastAsia="Times New Roman" w:cs="Tahoma"/>
          <w:lang w:eastAsia="en-GB"/>
        </w:rPr>
        <w:t xml:space="preserve">alone </w:t>
      </w:r>
      <w:r w:rsidRPr="007440C5">
        <w:rPr>
          <w:rFonts w:eastAsia="Times New Roman" w:cs="Tahoma"/>
          <w:lang w:eastAsia="en-GB"/>
        </w:rPr>
        <w:t>having over 20,000).</w:t>
      </w:r>
      <w:r w:rsidRPr="007440C5">
        <w:rPr>
          <w:rFonts w:eastAsia="Times New Roman" w:cs="Tahoma"/>
          <w:vertAlign w:val="superscript"/>
          <w:lang w:eastAsia="en-GB"/>
        </w:rPr>
        <w:footnoteReference w:id="10"/>
      </w:r>
      <w:r w:rsidRPr="007440C5">
        <w:rPr>
          <w:rFonts w:eastAsia="Times New Roman" w:cs="Tahoma"/>
          <w:lang w:eastAsia="en-GB"/>
        </w:rPr>
        <w:t xml:space="preserve">  Promotional literature tends also to use past student application trends to suggest vastly increasing potential demand; </w:t>
      </w:r>
      <w:r w:rsidR="00655CCC">
        <w:rPr>
          <w:rFonts w:eastAsia="Times New Roman" w:cs="Tahoma"/>
          <w:lang w:eastAsia="en-GB"/>
        </w:rPr>
        <w:t>asserts</w:t>
      </w:r>
      <w:r w:rsidRPr="007440C5">
        <w:rPr>
          <w:rFonts w:eastAsia="Times New Roman" w:cs="Tahoma"/>
          <w:lang w:eastAsia="en-GB"/>
        </w:rPr>
        <w:t xml:space="preserve"> that there is a severe shortage of purpose</w:t>
      </w:r>
      <w:r w:rsidR="00655CCC">
        <w:rPr>
          <w:rFonts w:eastAsia="Times New Roman" w:cs="Tahoma"/>
          <w:lang w:eastAsia="en-GB"/>
        </w:rPr>
        <w:t>-</w:t>
      </w:r>
      <w:r w:rsidRPr="007440C5">
        <w:rPr>
          <w:rFonts w:eastAsia="Times New Roman" w:cs="Tahoma"/>
          <w:lang w:eastAsia="en-GB"/>
        </w:rPr>
        <w:t>built accommodatio</w:t>
      </w:r>
      <w:r w:rsidR="00EC3CF1">
        <w:rPr>
          <w:rFonts w:eastAsia="Times New Roman" w:cs="Tahoma"/>
          <w:lang w:eastAsia="en-GB"/>
        </w:rPr>
        <w:t>n; compares their product to  ‘</w:t>
      </w:r>
      <w:r w:rsidRPr="007440C5">
        <w:rPr>
          <w:rFonts w:eastAsia="Times New Roman" w:cs="Tahoma"/>
          <w:lang w:eastAsia="en-GB"/>
        </w:rPr>
        <w:t>out</w:t>
      </w:r>
      <w:r w:rsidR="00655CCC">
        <w:rPr>
          <w:rFonts w:eastAsia="Times New Roman" w:cs="Tahoma"/>
          <w:lang w:eastAsia="en-GB"/>
        </w:rPr>
        <w:t>dated university accommodation</w:t>
      </w:r>
      <w:r w:rsidR="00EC3CF1">
        <w:rPr>
          <w:rFonts w:eastAsia="Times New Roman" w:cs="Tahoma"/>
          <w:lang w:eastAsia="en-GB"/>
        </w:rPr>
        <w:t>’</w:t>
      </w:r>
      <w:r w:rsidR="00655CCC">
        <w:rPr>
          <w:rFonts w:eastAsia="Times New Roman" w:cs="Tahoma"/>
          <w:lang w:eastAsia="en-GB"/>
        </w:rPr>
        <w:t>;</w:t>
      </w:r>
      <w:r w:rsidRPr="007440C5">
        <w:rPr>
          <w:rFonts w:eastAsia="Times New Roman" w:cs="Tahoma"/>
          <w:lang w:eastAsia="en-GB"/>
        </w:rPr>
        <w:t xml:space="preserve"> and claims that student accommodation providers are reporting 100</w:t>
      </w:r>
      <w:r w:rsidR="00E45485">
        <w:rPr>
          <w:rFonts w:eastAsia="Times New Roman" w:cs="Tahoma"/>
          <w:lang w:eastAsia="en-GB"/>
        </w:rPr>
        <w:t xml:space="preserve"> per cent</w:t>
      </w:r>
      <w:r w:rsidRPr="007440C5">
        <w:rPr>
          <w:rFonts w:eastAsia="Times New Roman" w:cs="Tahoma"/>
          <w:lang w:eastAsia="en-GB"/>
        </w:rPr>
        <w:t xml:space="preserve"> occupancy rates</w:t>
      </w:r>
      <w:r w:rsidR="00E45485">
        <w:rPr>
          <w:rFonts w:eastAsia="Times New Roman" w:cs="Tahoma"/>
          <w:lang w:eastAsia="en-GB"/>
        </w:rPr>
        <w:t>.</w:t>
      </w:r>
      <w:r w:rsidRPr="007440C5">
        <w:rPr>
          <w:rFonts w:eastAsia="Times New Roman" w:cs="Tahoma"/>
          <w:vertAlign w:val="superscript"/>
          <w:lang w:eastAsia="en-GB"/>
        </w:rPr>
        <w:footnoteReference w:id="11"/>
      </w:r>
    </w:p>
    <w:p w:rsidR="007440C5" w:rsidRPr="007440C5" w:rsidRDefault="007440C5" w:rsidP="007440C5">
      <w:pPr>
        <w:spacing w:after="0" w:line="312" w:lineRule="auto"/>
        <w:rPr>
          <w:b/>
        </w:rPr>
      </w:pPr>
      <w:r w:rsidRPr="007440C5">
        <w:rPr>
          <w:b/>
        </w:rPr>
        <w:t>2.3</w:t>
      </w:r>
      <w:r w:rsidRPr="007440C5">
        <w:rPr>
          <w:b/>
        </w:rPr>
        <w:tab/>
        <w:t>Private rented housing</w:t>
      </w:r>
    </w:p>
    <w:p w:rsidR="007440C5" w:rsidRPr="007440C5" w:rsidRDefault="007440C5" w:rsidP="007440C5">
      <w:pPr>
        <w:spacing w:after="0" w:line="240" w:lineRule="auto"/>
        <w:ind w:left="720"/>
      </w:pPr>
      <w:r w:rsidRPr="007440C5">
        <w:t>There are approximately 36,000 private rented properties in Bradford as measured at the 2011 Census, or 18 per cent of all housing. Table 13 shows the areas with a proportion of private rented housing above the city average. It shows that the areas with the highest proportions of private rented housing are mostly concentrated in areas close to the University and Bradford College.</w:t>
      </w:r>
    </w:p>
    <w:p w:rsidR="007440C5" w:rsidRPr="007440C5" w:rsidRDefault="007440C5" w:rsidP="007440C5">
      <w:pPr>
        <w:spacing w:after="0" w:line="240" w:lineRule="auto"/>
        <w:ind w:left="720"/>
        <w:rPr>
          <w:sz w:val="24"/>
        </w:rPr>
      </w:pPr>
    </w:p>
    <w:p w:rsidR="007440C5" w:rsidRPr="007440C5" w:rsidRDefault="007440C5" w:rsidP="00EC3CF1">
      <w:pPr>
        <w:tabs>
          <w:tab w:val="left" w:pos="1701"/>
        </w:tabs>
        <w:spacing w:after="0" w:line="288" w:lineRule="auto"/>
        <w:ind w:left="720"/>
        <w:rPr>
          <w:i/>
        </w:rPr>
      </w:pPr>
      <w:r w:rsidRPr="007440C5">
        <w:rPr>
          <w:i/>
        </w:rPr>
        <w:t>Table 13:</w:t>
      </w:r>
      <w:r w:rsidR="00EC3CF1">
        <w:rPr>
          <w:i/>
        </w:rPr>
        <w:tab/>
      </w:r>
      <w:r w:rsidRPr="007440C5">
        <w:rPr>
          <w:i/>
        </w:rPr>
        <w:t>Wards with above proportions of private rented housing 2011</w:t>
      </w:r>
    </w:p>
    <w:tbl>
      <w:tblPr>
        <w:tblpPr w:leftFromText="180" w:rightFromText="180" w:vertAnchor="text" w:horzAnchor="page" w:tblpX="1861" w:tblpY="180"/>
        <w:tblW w:w="52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92"/>
        <w:gridCol w:w="1009"/>
        <w:gridCol w:w="1144"/>
      </w:tblGrid>
      <w:tr w:rsidR="007440C5" w:rsidRPr="007440C5" w:rsidTr="00BB288F">
        <w:trPr>
          <w:trHeight w:val="269"/>
        </w:trPr>
        <w:tc>
          <w:tcPr>
            <w:tcW w:w="3092" w:type="dxa"/>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Ward</w:t>
            </w:r>
          </w:p>
        </w:tc>
        <w:tc>
          <w:tcPr>
            <w:tcW w:w="2153"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b/>
                <w:bCs/>
                <w:sz w:val="18"/>
                <w:szCs w:val="18"/>
                <w:lang w:eastAsia="en-GB"/>
              </w:rPr>
            </w:pPr>
            <w:r w:rsidRPr="007440C5">
              <w:rPr>
                <w:rFonts w:ascii="Calibri" w:eastAsia="Times New Roman" w:hAnsi="Calibri" w:cs="Times New Roman"/>
                <w:b/>
                <w:bCs/>
                <w:sz w:val="18"/>
                <w:szCs w:val="18"/>
                <w:lang w:eastAsia="en-GB"/>
              </w:rPr>
              <w:t>Private rented</w:t>
            </w:r>
          </w:p>
        </w:tc>
      </w:tr>
      <w:tr w:rsidR="007440C5" w:rsidRPr="007440C5" w:rsidTr="00BB288F">
        <w:trPr>
          <w:trHeight w:val="281"/>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City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3,396</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45.3%</w:t>
            </w:r>
          </w:p>
        </w:tc>
      </w:tr>
      <w:tr w:rsidR="007440C5" w:rsidRPr="007440C5" w:rsidTr="00BB288F">
        <w:trPr>
          <w:trHeight w:val="272"/>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 xml:space="preserve">Bowling and </w:t>
            </w:r>
            <w:proofErr w:type="spellStart"/>
            <w:r w:rsidRPr="007440C5">
              <w:rPr>
                <w:rFonts w:ascii="Calibri" w:eastAsia="Times New Roman" w:hAnsi="Calibri" w:cs="Times New Roman"/>
                <w:sz w:val="18"/>
                <w:szCs w:val="18"/>
                <w:lang w:eastAsia="en-GB"/>
              </w:rPr>
              <w:t>Barkerend</w:t>
            </w:r>
            <w:proofErr w:type="spellEnd"/>
            <w:r w:rsidRPr="007440C5">
              <w:rPr>
                <w:rFonts w:ascii="Calibri" w:eastAsia="Times New Roman" w:hAnsi="Calibri" w:cs="Times New Roman"/>
                <w:sz w:val="18"/>
                <w:szCs w:val="18"/>
                <w:lang w:eastAsia="en-GB"/>
              </w:rPr>
              <w:t xml:space="preserve">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1,765</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24.8%</w:t>
            </w:r>
          </w:p>
        </w:tc>
      </w:tr>
      <w:tr w:rsidR="007440C5" w:rsidRPr="007440C5" w:rsidTr="00BB288F">
        <w:trPr>
          <w:trHeight w:val="262"/>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Shipley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1,661</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23.8%</w:t>
            </w:r>
          </w:p>
        </w:tc>
      </w:tr>
      <w:tr w:rsidR="007440C5" w:rsidRPr="007440C5" w:rsidTr="00BB288F">
        <w:trPr>
          <w:trHeight w:val="266"/>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Toller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1,265</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23.7%</w:t>
            </w:r>
          </w:p>
        </w:tc>
      </w:tr>
      <w:tr w:rsidR="007440C5" w:rsidRPr="007440C5" w:rsidTr="00BB288F">
        <w:trPr>
          <w:trHeight w:val="284"/>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Little Horton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1,572</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23.4%</w:t>
            </w:r>
          </w:p>
        </w:tc>
      </w:tr>
      <w:tr w:rsidR="007440C5" w:rsidRPr="007440C5" w:rsidTr="00BB288F">
        <w:trPr>
          <w:trHeight w:val="65"/>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Keighley Central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1,395</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22.7%</w:t>
            </w:r>
          </w:p>
        </w:tc>
      </w:tr>
      <w:tr w:rsidR="007440C5" w:rsidRPr="007440C5" w:rsidTr="00BB288F">
        <w:trPr>
          <w:trHeight w:val="306"/>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Great Horton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1,393</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22.6%</w:t>
            </w:r>
          </w:p>
        </w:tc>
      </w:tr>
      <w:tr w:rsidR="007440C5" w:rsidRPr="007440C5" w:rsidTr="00BB288F">
        <w:trPr>
          <w:trHeight w:val="268"/>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proofErr w:type="spellStart"/>
            <w:r w:rsidRPr="007440C5">
              <w:rPr>
                <w:rFonts w:ascii="Calibri" w:eastAsia="Times New Roman" w:hAnsi="Calibri" w:cs="Times New Roman"/>
                <w:sz w:val="18"/>
                <w:szCs w:val="18"/>
                <w:lang w:eastAsia="en-GB"/>
              </w:rPr>
              <w:t>Manningham</w:t>
            </w:r>
            <w:proofErr w:type="spellEnd"/>
            <w:r w:rsidRPr="007440C5">
              <w:rPr>
                <w:rFonts w:ascii="Calibri" w:eastAsia="Times New Roman" w:hAnsi="Calibri" w:cs="Times New Roman"/>
                <w:sz w:val="18"/>
                <w:szCs w:val="18"/>
                <w:lang w:eastAsia="en-GB"/>
              </w:rPr>
              <w:t xml:space="preserve">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1,260</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22.5%</w:t>
            </w:r>
          </w:p>
        </w:tc>
      </w:tr>
      <w:tr w:rsidR="007440C5" w:rsidRPr="007440C5" w:rsidTr="00BB288F">
        <w:trPr>
          <w:trHeight w:val="271"/>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Bradford Moor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1,241</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21.6%</w:t>
            </w:r>
          </w:p>
        </w:tc>
      </w:tr>
      <w:tr w:rsidR="007440C5" w:rsidRPr="007440C5" w:rsidTr="00BB288F">
        <w:trPr>
          <w:trHeight w:val="276"/>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 xml:space="preserve">Bolton and </w:t>
            </w:r>
            <w:proofErr w:type="spellStart"/>
            <w:r w:rsidRPr="007440C5">
              <w:rPr>
                <w:rFonts w:ascii="Calibri" w:eastAsia="Times New Roman" w:hAnsi="Calibri" w:cs="Times New Roman"/>
                <w:sz w:val="18"/>
                <w:szCs w:val="18"/>
                <w:lang w:eastAsia="en-GB"/>
              </w:rPr>
              <w:t>Undercliffe</w:t>
            </w:r>
            <w:proofErr w:type="spellEnd"/>
            <w:r w:rsidRPr="007440C5">
              <w:rPr>
                <w:rFonts w:ascii="Calibri" w:eastAsia="Times New Roman" w:hAnsi="Calibri" w:cs="Times New Roman"/>
                <w:sz w:val="18"/>
                <w:szCs w:val="18"/>
                <w:lang w:eastAsia="en-GB"/>
              </w:rPr>
              <w:t xml:space="preserve">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1,221</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19.2%</w:t>
            </w:r>
          </w:p>
        </w:tc>
      </w:tr>
      <w:tr w:rsidR="007440C5" w:rsidRPr="007440C5" w:rsidTr="00BB288F">
        <w:trPr>
          <w:trHeight w:val="252"/>
        </w:trPr>
        <w:tc>
          <w:tcPr>
            <w:tcW w:w="309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Heaton Ward</w:t>
            </w:r>
          </w:p>
        </w:tc>
        <w:tc>
          <w:tcPr>
            <w:tcW w:w="10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970</w:t>
            </w:r>
          </w:p>
        </w:tc>
        <w:tc>
          <w:tcPr>
            <w:tcW w:w="1144"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18"/>
                <w:lang w:eastAsia="en-GB"/>
              </w:rPr>
            </w:pPr>
            <w:r w:rsidRPr="007440C5">
              <w:rPr>
                <w:rFonts w:ascii="Calibri" w:eastAsia="Times New Roman" w:hAnsi="Calibri" w:cs="Times New Roman"/>
                <w:sz w:val="18"/>
                <w:szCs w:val="18"/>
                <w:lang w:eastAsia="en-GB"/>
              </w:rPr>
              <w:t>18.6%</w:t>
            </w:r>
          </w:p>
        </w:tc>
      </w:tr>
    </w:tbl>
    <w:p w:rsidR="007440C5" w:rsidRPr="007440C5" w:rsidRDefault="007440C5" w:rsidP="007440C5">
      <w:pPr>
        <w:spacing w:after="0" w:line="312" w:lineRule="auto"/>
        <w:ind w:left="720"/>
      </w:pPr>
    </w:p>
    <w:p w:rsidR="007440C5" w:rsidRPr="007440C5" w:rsidRDefault="007440C5" w:rsidP="007440C5">
      <w:pPr>
        <w:spacing w:after="0" w:line="312" w:lineRule="auto"/>
        <w:ind w:left="720"/>
      </w:pPr>
    </w:p>
    <w:p w:rsidR="007440C5" w:rsidRPr="007440C5" w:rsidRDefault="007440C5" w:rsidP="007440C5"/>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r w:rsidRPr="007440C5">
        <w:rPr>
          <w:color w:val="FF0000"/>
        </w:rPr>
        <w:tab/>
      </w:r>
      <w:r w:rsidRPr="007440C5">
        <w:rPr>
          <w:sz w:val="18"/>
        </w:rPr>
        <w:t>(</w:t>
      </w:r>
      <w:r w:rsidRPr="007440C5">
        <w:rPr>
          <w:i/>
          <w:sz w:val="18"/>
        </w:rPr>
        <w:t>Source:  2011 Census/ONS Neighbourhood Statistics 2014</w:t>
      </w:r>
      <w:r w:rsidRPr="007440C5">
        <w:rPr>
          <w:sz w:val="18"/>
        </w:rPr>
        <w:t>)</w:t>
      </w:r>
    </w:p>
    <w:p w:rsidR="007440C5" w:rsidRPr="007440C5" w:rsidRDefault="007440C5" w:rsidP="007440C5">
      <w:pPr>
        <w:spacing w:after="0"/>
        <w:ind w:left="720"/>
      </w:pPr>
      <w:r w:rsidRPr="007440C5">
        <w:t xml:space="preserve">Table 14 shows that rent levels in the private rented sector remain lower than in PBSA provision apart from the newer </w:t>
      </w:r>
      <w:r w:rsidR="00EC3CF1">
        <w:t>city centre located studio and pod</w:t>
      </w:r>
      <w:r w:rsidRPr="007440C5">
        <w:t xml:space="preserve"> developments, and have fallen over the last year.  It may be expected that </w:t>
      </w:r>
      <w:r w:rsidR="00E45485">
        <w:t xml:space="preserve">rent </w:t>
      </w:r>
      <w:r w:rsidRPr="007440C5">
        <w:t>levels are key drivers of residential demand. However, research has shown that rent levels are less important to students than location and quality of amenities.</w:t>
      </w:r>
      <w:r w:rsidR="0008205A">
        <w:rPr>
          <w:rStyle w:val="FootnoteReference"/>
        </w:rPr>
        <w:footnoteReference w:id="12"/>
      </w:r>
      <w:r w:rsidRPr="007440C5">
        <w:t xml:space="preserve"> Private rented properties that are considered too far away from the University or do not have expected amenities (heating, security and increasingly </w:t>
      </w:r>
      <w:proofErr w:type="spellStart"/>
      <w:r w:rsidRPr="007440C5">
        <w:t>WiFi</w:t>
      </w:r>
      <w:proofErr w:type="spellEnd"/>
      <w:r w:rsidRPr="007440C5">
        <w:t xml:space="preserve"> or broadband connectivity) may become difficult to let.</w:t>
      </w:r>
    </w:p>
    <w:p w:rsidR="007440C5" w:rsidRPr="007440C5" w:rsidRDefault="007440C5" w:rsidP="007440C5">
      <w:pPr>
        <w:spacing w:after="0"/>
        <w:ind w:left="720"/>
      </w:pPr>
    </w:p>
    <w:p w:rsidR="007440C5" w:rsidRPr="007440C5" w:rsidRDefault="007440C5" w:rsidP="007440C5">
      <w:pPr>
        <w:spacing w:after="0"/>
        <w:ind w:left="720"/>
      </w:pPr>
    </w:p>
    <w:p w:rsidR="007440C5" w:rsidRPr="007440C5" w:rsidRDefault="007440C5" w:rsidP="007440C5">
      <w:pPr>
        <w:spacing w:after="0"/>
        <w:ind w:left="720"/>
      </w:pPr>
    </w:p>
    <w:p w:rsidR="007440C5" w:rsidRPr="007440C5" w:rsidRDefault="007440C5" w:rsidP="007440C5">
      <w:pPr>
        <w:spacing w:after="0"/>
        <w:ind w:left="720"/>
      </w:pPr>
    </w:p>
    <w:p w:rsidR="007440C5" w:rsidRPr="007440C5" w:rsidRDefault="007440C5" w:rsidP="00246F32">
      <w:pPr>
        <w:tabs>
          <w:tab w:val="left" w:pos="1701"/>
        </w:tabs>
        <w:ind w:left="720"/>
        <w:rPr>
          <w:i/>
        </w:rPr>
      </w:pPr>
      <w:r w:rsidRPr="007440C5">
        <w:rPr>
          <w:i/>
        </w:rPr>
        <w:t xml:space="preserve">Table 14: </w:t>
      </w:r>
      <w:r w:rsidR="00246F32">
        <w:rPr>
          <w:i/>
        </w:rPr>
        <w:tab/>
      </w:r>
      <w:r w:rsidRPr="007440C5">
        <w:rPr>
          <w:i/>
        </w:rPr>
        <w:t>Rent levels in off-street shared housing compared to other accommodation 2013</w:t>
      </w:r>
    </w:p>
    <w:tbl>
      <w:tblPr>
        <w:tblStyle w:val="TableGrid"/>
        <w:tblpPr w:leftFromText="180" w:rightFromText="180" w:vertAnchor="text" w:horzAnchor="page" w:tblpX="1768" w:tblpY="55"/>
        <w:tblW w:w="0" w:type="auto"/>
        <w:tblLook w:val="04A0" w:firstRow="1" w:lastRow="0" w:firstColumn="1" w:lastColumn="0" w:noHBand="0" w:noVBand="1"/>
      </w:tblPr>
      <w:tblGrid>
        <w:gridCol w:w="2977"/>
        <w:gridCol w:w="1276"/>
        <w:gridCol w:w="1470"/>
        <w:gridCol w:w="1417"/>
      </w:tblGrid>
      <w:tr w:rsidR="007440C5" w:rsidRPr="007440C5" w:rsidTr="00BB288F">
        <w:tc>
          <w:tcPr>
            <w:tcW w:w="2977" w:type="dxa"/>
          </w:tcPr>
          <w:p w:rsidR="007440C5" w:rsidRPr="007440C5" w:rsidRDefault="007440C5" w:rsidP="007440C5">
            <w:pPr>
              <w:spacing w:line="312" w:lineRule="auto"/>
              <w:rPr>
                <w:b/>
                <w:bCs/>
                <w:sz w:val="20"/>
                <w:lang w:val="en-US"/>
              </w:rPr>
            </w:pPr>
            <w:r w:rsidRPr="007440C5">
              <w:rPr>
                <w:b/>
                <w:bCs/>
                <w:sz w:val="20"/>
                <w:lang w:val="en-US"/>
              </w:rPr>
              <w:t>Type</w:t>
            </w:r>
          </w:p>
        </w:tc>
        <w:tc>
          <w:tcPr>
            <w:tcW w:w="1276" w:type="dxa"/>
          </w:tcPr>
          <w:p w:rsidR="007440C5" w:rsidRPr="007440C5" w:rsidRDefault="007440C5" w:rsidP="00E45485">
            <w:pPr>
              <w:spacing w:line="312" w:lineRule="auto"/>
              <w:jc w:val="center"/>
              <w:rPr>
                <w:b/>
                <w:bCs/>
                <w:sz w:val="20"/>
                <w:lang w:val="en-US"/>
              </w:rPr>
            </w:pPr>
            <w:r w:rsidRPr="007440C5">
              <w:rPr>
                <w:b/>
                <w:bCs/>
                <w:sz w:val="20"/>
                <w:lang w:val="en-US"/>
              </w:rPr>
              <w:t>2012</w:t>
            </w:r>
            <w:r w:rsidR="00E45485">
              <w:rPr>
                <w:b/>
                <w:bCs/>
                <w:sz w:val="20"/>
                <w:lang w:val="en-US"/>
              </w:rPr>
              <w:t>/</w:t>
            </w:r>
            <w:r w:rsidRPr="007440C5">
              <w:rPr>
                <w:b/>
                <w:bCs/>
                <w:sz w:val="20"/>
                <w:lang w:val="en-US"/>
              </w:rPr>
              <w:t>13</w:t>
            </w:r>
          </w:p>
        </w:tc>
        <w:tc>
          <w:tcPr>
            <w:tcW w:w="1470" w:type="dxa"/>
          </w:tcPr>
          <w:p w:rsidR="007440C5" w:rsidRPr="007440C5" w:rsidRDefault="007440C5" w:rsidP="00E45485">
            <w:pPr>
              <w:spacing w:line="312" w:lineRule="auto"/>
              <w:jc w:val="center"/>
              <w:rPr>
                <w:b/>
                <w:bCs/>
                <w:sz w:val="20"/>
                <w:lang w:val="en-US"/>
              </w:rPr>
            </w:pPr>
            <w:r w:rsidRPr="007440C5">
              <w:rPr>
                <w:b/>
                <w:bCs/>
                <w:sz w:val="20"/>
                <w:lang w:val="en-US"/>
              </w:rPr>
              <w:t>2013</w:t>
            </w:r>
            <w:r w:rsidR="00E45485">
              <w:rPr>
                <w:b/>
                <w:bCs/>
                <w:sz w:val="20"/>
                <w:lang w:val="en-US"/>
              </w:rPr>
              <w:t>/</w:t>
            </w:r>
            <w:r w:rsidRPr="007440C5">
              <w:rPr>
                <w:b/>
                <w:bCs/>
                <w:sz w:val="20"/>
                <w:lang w:val="en-US"/>
              </w:rPr>
              <w:t>14</w:t>
            </w:r>
          </w:p>
        </w:tc>
        <w:tc>
          <w:tcPr>
            <w:tcW w:w="1417" w:type="dxa"/>
          </w:tcPr>
          <w:p w:rsidR="007440C5" w:rsidRPr="007440C5" w:rsidRDefault="007440C5" w:rsidP="007440C5">
            <w:pPr>
              <w:spacing w:line="312" w:lineRule="auto"/>
              <w:jc w:val="center"/>
              <w:rPr>
                <w:sz w:val="20"/>
              </w:rPr>
            </w:pPr>
            <w:r w:rsidRPr="007440C5">
              <w:rPr>
                <w:b/>
                <w:bCs/>
                <w:sz w:val="20"/>
                <w:lang w:val="en-US"/>
              </w:rPr>
              <w:t>Change</w:t>
            </w:r>
          </w:p>
        </w:tc>
      </w:tr>
      <w:tr w:rsidR="007440C5" w:rsidRPr="007440C5" w:rsidTr="00BB288F">
        <w:tc>
          <w:tcPr>
            <w:tcW w:w="2977" w:type="dxa"/>
          </w:tcPr>
          <w:p w:rsidR="007440C5" w:rsidRPr="007440C5" w:rsidRDefault="007440C5" w:rsidP="007440C5">
            <w:pPr>
              <w:spacing w:line="312" w:lineRule="auto"/>
              <w:rPr>
                <w:sz w:val="20"/>
                <w:lang w:val="en-US"/>
              </w:rPr>
            </w:pPr>
            <w:r w:rsidRPr="007440C5">
              <w:rPr>
                <w:sz w:val="20"/>
                <w:lang w:val="en-US"/>
              </w:rPr>
              <w:t>Shared house</w:t>
            </w:r>
          </w:p>
        </w:tc>
        <w:tc>
          <w:tcPr>
            <w:tcW w:w="1276" w:type="dxa"/>
          </w:tcPr>
          <w:p w:rsidR="007440C5" w:rsidRPr="007440C5" w:rsidRDefault="007440C5" w:rsidP="007440C5">
            <w:pPr>
              <w:spacing w:line="312" w:lineRule="auto"/>
              <w:jc w:val="center"/>
              <w:rPr>
                <w:sz w:val="20"/>
                <w:lang w:val="en-US"/>
              </w:rPr>
            </w:pPr>
            <w:r w:rsidRPr="007440C5">
              <w:rPr>
                <w:sz w:val="20"/>
                <w:lang w:val="en-US"/>
              </w:rPr>
              <w:t>£46.92</w:t>
            </w:r>
          </w:p>
        </w:tc>
        <w:tc>
          <w:tcPr>
            <w:tcW w:w="1470" w:type="dxa"/>
          </w:tcPr>
          <w:p w:rsidR="007440C5" w:rsidRPr="007440C5" w:rsidRDefault="007440C5" w:rsidP="007440C5">
            <w:pPr>
              <w:spacing w:line="312" w:lineRule="auto"/>
              <w:jc w:val="center"/>
              <w:rPr>
                <w:sz w:val="20"/>
                <w:lang w:val="en-US"/>
              </w:rPr>
            </w:pPr>
            <w:r w:rsidRPr="007440C5">
              <w:rPr>
                <w:sz w:val="20"/>
                <w:lang w:val="en-US"/>
              </w:rPr>
              <w:t>£45.70</w:t>
            </w:r>
          </w:p>
        </w:tc>
        <w:tc>
          <w:tcPr>
            <w:tcW w:w="1417" w:type="dxa"/>
          </w:tcPr>
          <w:p w:rsidR="007440C5" w:rsidRPr="007440C5" w:rsidRDefault="007440C5" w:rsidP="007440C5">
            <w:pPr>
              <w:spacing w:line="312" w:lineRule="auto"/>
              <w:jc w:val="center"/>
              <w:rPr>
                <w:sz w:val="20"/>
              </w:rPr>
            </w:pPr>
            <w:r w:rsidRPr="007440C5">
              <w:rPr>
                <w:sz w:val="20"/>
                <w:lang w:val="en-US"/>
              </w:rPr>
              <w:t>-2.6%</w:t>
            </w:r>
          </w:p>
        </w:tc>
      </w:tr>
      <w:tr w:rsidR="007440C5" w:rsidRPr="007440C5" w:rsidTr="00BB288F">
        <w:tc>
          <w:tcPr>
            <w:tcW w:w="2977" w:type="dxa"/>
          </w:tcPr>
          <w:p w:rsidR="007440C5" w:rsidRPr="007440C5" w:rsidRDefault="007440C5" w:rsidP="007440C5">
            <w:pPr>
              <w:spacing w:line="312" w:lineRule="auto"/>
              <w:rPr>
                <w:sz w:val="20"/>
                <w:lang w:val="en-US"/>
              </w:rPr>
            </w:pPr>
            <w:r w:rsidRPr="007440C5">
              <w:rPr>
                <w:sz w:val="20"/>
                <w:lang w:val="en-US"/>
              </w:rPr>
              <w:t>Shared flat</w:t>
            </w:r>
          </w:p>
        </w:tc>
        <w:tc>
          <w:tcPr>
            <w:tcW w:w="1276" w:type="dxa"/>
          </w:tcPr>
          <w:p w:rsidR="007440C5" w:rsidRPr="007440C5" w:rsidRDefault="007440C5" w:rsidP="007440C5">
            <w:pPr>
              <w:spacing w:line="312" w:lineRule="auto"/>
              <w:jc w:val="center"/>
              <w:rPr>
                <w:sz w:val="20"/>
                <w:lang w:val="en-US"/>
              </w:rPr>
            </w:pPr>
            <w:r w:rsidRPr="007440C5">
              <w:rPr>
                <w:sz w:val="20"/>
                <w:lang w:val="en-US"/>
              </w:rPr>
              <w:t>£71.49</w:t>
            </w:r>
          </w:p>
        </w:tc>
        <w:tc>
          <w:tcPr>
            <w:tcW w:w="1470" w:type="dxa"/>
          </w:tcPr>
          <w:p w:rsidR="007440C5" w:rsidRPr="007440C5" w:rsidRDefault="007440C5" w:rsidP="007440C5">
            <w:pPr>
              <w:spacing w:line="312" w:lineRule="auto"/>
              <w:jc w:val="center"/>
              <w:rPr>
                <w:sz w:val="20"/>
                <w:lang w:val="en-US"/>
              </w:rPr>
            </w:pPr>
            <w:r w:rsidRPr="007440C5">
              <w:rPr>
                <w:sz w:val="20"/>
                <w:lang w:val="en-US"/>
              </w:rPr>
              <w:t>£66.76</w:t>
            </w:r>
          </w:p>
        </w:tc>
        <w:tc>
          <w:tcPr>
            <w:tcW w:w="1417" w:type="dxa"/>
          </w:tcPr>
          <w:p w:rsidR="007440C5" w:rsidRPr="007440C5" w:rsidRDefault="007440C5" w:rsidP="007440C5">
            <w:pPr>
              <w:spacing w:line="312" w:lineRule="auto"/>
              <w:jc w:val="center"/>
              <w:rPr>
                <w:sz w:val="20"/>
              </w:rPr>
            </w:pPr>
            <w:r w:rsidRPr="007440C5">
              <w:rPr>
                <w:sz w:val="20"/>
                <w:lang w:val="en-US"/>
              </w:rPr>
              <w:t>-6.62%</w:t>
            </w:r>
          </w:p>
        </w:tc>
      </w:tr>
      <w:tr w:rsidR="007440C5" w:rsidRPr="007440C5" w:rsidTr="00BB288F">
        <w:tc>
          <w:tcPr>
            <w:tcW w:w="2977" w:type="dxa"/>
          </w:tcPr>
          <w:p w:rsidR="007440C5" w:rsidRPr="007440C5" w:rsidRDefault="007440C5" w:rsidP="007440C5">
            <w:pPr>
              <w:spacing w:line="312" w:lineRule="auto"/>
              <w:rPr>
                <w:sz w:val="20"/>
                <w:lang w:val="en-US"/>
              </w:rPr>
            </w:pPr>
            <w:r w:rsidRPr="007440C5">
              <w:rPr>
                <w:sz w:val="20"/>
                <w:lang w:val="en-US"/>
              </w:rPr>
              <w:t>Self-contained flat</w:t>
            </w:r>
          </w:p>
        </w:tc>
        <w:tc>
          <w:tcPr>
            <w:tcW w:w="1276" w:type="dxa"/>
          </w:tcPr>
          <w:p w:rsidR="007440C5" w:rsidRPr="007440C5" w:rsidRDefault="007440C5" w:rsidP="007440C5">
            <w:pPr>
              <w:spacing w:line="312" w:lineRule="auto"/>
              <w:jc w:val="center"/>
              <w:rPr>
                <w:sz w:val="20"/>
                <w:lang w:val="en-US"/>
              </w:rPr>
            </w:pPr>
            <w:r w:rsidRPr="007440C5">
              <w:rPr>
                <w:sz w:val="20"/>
                <w:lang w:val="en-US"/>
              </w:rPr>
              <w:t>£76.73</w:t>
            </w:r>
          </w:p>
        </w:tc>
        <w:tc>
          <w:tcPr>
            <w:tcW w:w="1470" w:type="dxa"/>
          </w:tcPr>
          <w:p w:rsidR="007440C5" w:rsidRPr="007440C5" w:rsidRDefault="007440C5" w:rsidP="007440C5">
            <w:pPr>
              <w:spacing w:line="312" w:lineRule="auto"/>
              <w:jc w:val="center"/>
              <w:rPr>
                <w:sz w:val="20"/>
                <w:lang w:val="en-US"/>
              </w:rPr>
            </w:pPr>
            <w:r w:rsidRPr="007440C5">
              <w:rPr>
                <w:sz w:val="20"/>
                <w:lang w:val="en-US"/>
              </w:rPr>
              <w:t>£73.00</w:t>
            </w:r>
          </w:p>
        </w:tc>
        <w:tc>
          <w:tcPr>
            <w:tcW w:w="1417" w:type="dxa"/>
          </w:tcPr>
          <w:p w:rsidR="007440C5" w:rsidRPr="007440C5" w:rsidRDefault="007440C5" w:rsidP="007440C5">
            <w:pPr>
              <w:spacing w:line="312" w:lineRule="auto"/>
              <w:jc w:val="center"/>
              <w:rPr>
                <w:sz w:val="20"/>
              </w:rPr>
            </w:pPr>
            <w:r w:rsidRPr="007440C5">
              <w:rPr>
                <w:sz w:val="20"/>
                <w:lang w:val="en-US"/>
              </w:rPr>
              <w:t>-4.86%</w:t>
            </w:r>
          </w:p>
        </w:tc>
      </w:tr>
      <w:tr w:rsidR="007440C5" w:rsidRPr="007440C5" w:rsidTr="00BB288F">
        <w:tc>
          <w:tcPr>
            <w:tcW w:w="2977" w:type="dxa"/>
          </w:tcPr>
          <w:p w:rsidR="007440C5" w:rsidRPr="007440C5" w:rsidRDefault="007440C5" w:rsidP="007440C5">
            <w:pPr>
              <w:spacing w:line="312" w:lineRule="auto"/>
              <w:rPr>
                <w:sz w:val="20"/>
                <w:lang w:val="en-US"/>
              </w:rPr>
            </w:pPr>
            <w:r w:rsidRPr="007440C5">
              <w:rPr>
                <w:sz w:val="20"/>
                <w:lang w:val="en-US"/>
              </w:rPr>
              <w:t xml:space="preserve">City </w:t>
            </w:r>
            <w:proofErr w:type="spellStart"/>
            <w:r w:rsidRPr="007440C5">
              <w:rPr>
                <w:sz w:val="20"/>
                <w:lang w:val="en-US"/>
              </w:rPr>
              <w:t>centre</w:t>
            </w:r>
            <w:proofErr w:type="spellEnd"/>
            <w:r w:rsidRPr="007440C5">
              <w:rPr>
                <w:sz w:val="20"/>
                <w:lang w:val="en-US"/>
              </w:rPr>
              <w:t xml:space="preserve"> studio flat</w:t>
            </w:r>
          </w:p>
        </w:tc>
        <w:tc>
          <w:tcPr>
            <w:tcW w:w="1276" w:type="dxa"/>
          </w:tcPr>
          <w:p w:rsidR="007440C5" w:rsidRPr="007440C5" w:rsidRDefault="007440C5" w:rsidP="007440C5">
            <w:pPr>
              <w:spacing w:line="312" w:lineRule="auto"/>
              <w:jc w:val="center"/>
              <w:rPr>
                <w:sz w:val="20"/>
                <w:lang w:val="en-US"/>
              </w:rPr>
            </w:pPr>
            <w:r w:rsidRPr="007440C5">
              <w:rPr>
                <w:sz w:val="20"/>
                <w:lang w:val="en-US"/>
              </w:rPr>
              <w:t>£81.67</w:t>
            </w:r>
          </w:p>
        </w:tc>
        <w:tc>
          <w:tcPr>
            <w:tcW w:w="1470" w:type="dxa"/>
          </w:tcPr>
          <w:p w:rsidR="007440C5" w:rsidRPr="007440C5" w:rsidRDefault="007440C5" w:rsidP="007440C5">
            <w:pPr>
              <w:spacing w:line="312" w:lineRule="auto"/>
              <w:jc w:val="center"/>
              <w:rPr>
                <w:sz w:val="20"/>
                <w:lang w:val="en-US"/>
              </w:rPr>
            </w:pPr>
            <w:r w:rsidRPr="007440C5">
              <w:rPr>
                <w:sz w:val="20"/>
                <w:lang w:val="en-US"/>
              </w:rPr>
              <w:t>£111.43</w:t>
            </w:r>
          </w:p>
        </w:tc>
        <w:tc>
          <w:tcPr>
            <w:tcW w:w="1417" w:type="dxa"/>
          </w:tcPr>
          <w:p w:rsidR="007440C5" w:rsidRPr="007440C5" w:rsidRDefault="007440C5" w:rsidP="007440C5">
            <w:pPr>
              <w:spacing w:line="312" w:lineRule="auto"/>
              <w:jc w:val="center"/>
              <w:rPr>
                <w:sz w:val="20"/>
              </w:rPr>
            </w:pPr>
            <w:r w:rsidRPr="007440C5">
              <w:rPr>
                <w:sz w:val="20"/>
                <w:lang w:val="en-US"/>
              </w:rPr>
              <w:t>+36.44%</w:t>
            </w:r>
          </w:p>
        </w:tc>
      </w:tr>
      <w:tr w:rsidR="007440C5" w:rsidRPr="007440C5" w:rsidTr="00BB288F">
        <w:tc>
          <w:tcPr>
            <w:tcW w:w="7140" w:type="dxa"/>
            <w:gridSpan w:val="4"/>
          </w:tcPr>
          <w:p w:rsidR="007440C5" w:rsidRPr="007440C5" w:rsidRDefault="007440C5" w:rsidP="007440C5">
            <w:pPr>
              <w:spacing w:before="60" w:after="60" w:line="312" w:lineRule="auto"/>
              <w:rPr>
                <w:b/>
                <w:sz w:val="20"/>
              </w:rPr>
            </w:pPr>
            <w:r w:rsidRPr="007440C5">
              <w:rPr>
                <w:b/>
                <w:sz w:val="20"/>
              </w:rPr>
              <w:t>Comparators</w:t>
            </w:r>
          </w:p>
        </w:tc>
      </w:tr>
      <w:tr w:rsidR="007440C5" w:rsidRPr="007440C5" w:rsidTr="00BB288F">
        <w:tc>
          <w:tcPr>
            <w:tcW w:w="2977" w:type="dxa"/>
          </w:tcPr>
          <w:p w:rsidR="007440C5" w:rsidRPr="007440C5" w:rsidRDefault="007440C5" w:rsidP="007440C5">
            <w:pPr>
              <w:spacing w:line="312" w:lineRule="auto"/>
              <w:rPr>
                <w:sz w:val="20"/>
              </w:rPr>
            </w:pPr>
            <w:r w:rsidRPr="007440C5">
              <w:rPr>
                <w:sz w:val="20"/>
              </w:rPr>
              <w:t>Large developments</w:t>
            </w:r>
          </w:p>
        </w:tc>
        <w:tc>
          <w:tcPr>
            <w:tcW w:w="1276" w:type="dxa"/>
          </w:tcPr>
          <w:p w:rsidR="007440C5" w:rsidRPr="007440C5" w:rsidRDefault="007440C5" w:rsidP="007440C5">
            <w:pPr>
              <w:spacing w:line="312" w:lineRule="auto"/>
              <w:jc w:val="center"/>
              <w:rPr>
                <w:sz w:val="20"/>
              </w:rPr>
            </w:pPr>
            <w:r w:rsidRPr="007440C5">
              <w:rPr>
                <w:sz w:val="20"/>
              </w:rPr>
              <w:t>£79.30</w:t>
            </w:r>
          </w:p>
        </w:tc>
        <w:tc>
          <w:tcPr>
            <w:tcW w:w="1470" w:type="dxa"/>
          </w:tcPr>
          <w:p w:rsidR="007440C5" w:rsidRPr="007440C5" w:rsidRDefault="007440C5" w:rsidP="007440C5">
            <w:pPr>
              <w:spacing w:line="312" w:lineRule="auto"/>
              <w:jc w:val="center"/>
              <w:rPr>
                <w:sz w:val="20"/>
              </w:rPr>
            </w:pPr>
            <w:r w:rsidRPr="007440C5">
              <w:rPr>
                <w:sz w:val="20"/>
              </w:rPr>
              <w:t>£83.76</w:t>
            </w:r>
          </w:p>
        </w:tc>
        <w:tc>
          <w:tcPr>
            <w:tcW w:w="1417" w:type="dxa"/>
          </w:tcPr>
          <w:p w:rsidR="007440C5" w:rsidRPr="007440C5" w:rsidRDefault="007440C5" w:rsidP="007440C5">
            <w:pPr>
              <w:spacing w:line="312" w:lineRule="auto"/>
              <w:jc w:val="center"/>
              <w:rPr>
                <w:sz w:val="20"/>
              </w:rPr>
            </w:pPr>
            <w:r w:rsidRPr="007440C5">
              <w:rPr>
                <w:sz w:val="20"/>
              </w:rPr>
              <w:t>+5%</w:t>
            </w:r>
          </w:p>
        </w:tc>
      </w:tr>
      <w:tr w:rsidR="007440C5" w:rsidRPr="007440C5" w:rsidTr="00BB288F">
        <w:tc>
          <w:tcPr>
            <w:tcW w:w="2977" w:type="dxa"/>
          </w:tcPr>
          <w:p w:rsidR="007440C5" w:rsidRPr="007440C5" w:rsidRDefault="007440C5" w:rsidP="007440C5">
            <w:pPr>
              <w:spacing w:line="312" w:lineRule="auto"/>
              <w:rPr>
                <w:sz w:val="20"/>
                <w:lang w:val="en-US"/>
              </w:rPr>
            </w:pPr>
            <w:r w:rsidRPr="007440C5">
              <w:rPr>
                <w:sz w:val="20"/>
                <w:lang w:val="en-US"/>
              </w:rPr>
              <w:t>Lodger with owner occupier</w:t>
            </w:r>
          </w:p>
        </w:tc>
        <w:tc>
          <w:tcPr>
            <w:tcW w:w="1276" w:type="dxa"/>
          </w:tcPr>
          <w:p w:rsidR="007440C5" w:rsidRPr="007440C5" w:rsidRDefault="007440C5" w:rsidP="007440C5">
            <w:pPr>
              <w:spacing w:line="312" w:lineRule="auto"/>
              <w:jc w:val="center"/>
              <w:rPr>
                <w:sz w:val="20"/>
                <w:lang w:val="en-US"/>
              </w:rPr>
            </w:pPr>
            <w:r w:rsidRPr="007440C5">
              <w:rPr>
                <w:sz w:val="20"/>
                <w:lang w:val="en-US"/>
              </w:rPr>
              <w:t>£66.82</w:t>
            </w:r>
          </w:p>
        </w:tc>
        <w:tc>
          <w:tcPr>
            <w:tcW w:w="1470" w:type="dxa"/>
          </w:tcPr>
          <w:p w:rsidR="007440C5" w:rsidRPr="007440C5" w:rsidRDefault="007440C5" w:rsidP="007440C5">
            <w:pPr>
              <w:spacing w:line="312" w:lineRule="auto"/>
              <w:jc w:val="center"/>
              <w:rPr>
                <w:sz w:val="20"/>
                <w:lang w:val="en-US"/>
              </w:rPr>
            </w:pPr>
            <w:r w:rsidRPr="007440C5">
              <w:rPr>
                <w:sz w:val="20"/>
                <w:lang w:val="en-US"/>
              </w:rPr>
              <w:t>£65.88</w:t>
            </w:r>
          </w:p>
        </w:tc>
        <w:tc>
          <w:tcPr>
            <w:tcW w:w="1417" w:type="dxa"/>
          </w:tcPr>
          <w:p w:rsidR="007440C5" w:rsidRPr="007440C5" w:rsidRDefault="007440C5" w:rsidP="007440C5">
            <w:pPr>
              <w:spacing w:line="312" w:lineRule="auto"/>
              <w:jc w:val="center"/>
              <w:rPr>
                <w:sz w:val="20"/>
              </w:rPr>
            </w:pPr>
            <w:r w:rsidRPr="007440C5">
              <w:rPr>
                <w:sz w:val="20"/>
                <w:lang w:val="en-US"/>
              </w:rPr>
              <w:t>-1.41%</w:t>
            </w:r>
          </w:p>
        </w:tc>
      </w:tr>
    </w:tbl>
    <w:p w:rsidR="007440C5" w:rsidRPr="007440C5" w:rsidRDefault="007440C5" w:rsidP="007440C5">
      <w:pPr>
        <w:ind w:left="720"/>
        <w:rPr>
          <w:i/>
        </w:rPr>
      </w:pPr>
    </w:p>
    <w:p w:rsidR="007440C5" w:rsidRPr="007440C5" w:rsidRDefault="007440C5" w:rsidP="007440C5"/>
    <w:p w:rsidR="007440C5" w:rsidRPr="007440C5" w:rsidRDefault="007440C5" w:rsidP="007440C5"/>
    <w:p w:rsidR="007440C5" w:rsidRPr="007440C5" w:rsidRDefault="007440C5" w:rsidP="007440C5"/>
    <w:p w:rsidR="007440C5" w:rsidRPr="007440C5" w:rsidRDefault="007440C5" w:rsidP="007440C5"/>
    <w:p w:rsidR="007440C5" w:rsidRPr="007440C5" w:rsidRDefault="007440C5" w:rsidP="007440C5">
      <w:pPr>
        <w:rPr>
          <w:sz w:val="18"/>
        </w:rPr>
      </w:pPr>
    </w:p>
    <w:p w:rsidR="007440C5" w:rsidRPr="007440C5" w:rsidRDefault="007440C5" w:rsidP="007440C5">
      <w:pPr>
        <w:ind w:firstLine="720"/>
        <w:rPr>
          <w:sz w:val="18"/>
        </w:rPr>
      </w:pPr>
      <w:r w:rsidRPr="007440C5">
        <w:rPr>
          <w:sz w:val="18"/>
        </w:rPr>
        <w:t>(</w:t>
      </w:r>
      <w:r w:rsidRPr="007440C5">
        <w:rPr>
          <w:i/>
          <w:sz w:val="18"/>
        </w:rPr>
        <w:t>Source:  Unipol 2014</w:t>
      </w:r>
      <w:r w:rsidRPr="007440C5">
        <w:rPr>
          <w:sz w:val="18"/>
        </w:rPr>
        <w:t>)</w:t>
      </w:r>
    </w:p>
    <w:p w:rsidR="007440C5" w:rsidRDefault="007440C5" w:rsidP="00246F32">
      <w:pPr>
        <w:spacing w:after="100" w:afterAutospacing="1"/>
        <w:ind w:left="720"/>
      </w:pPr>
      <w:r w:rsidRPr="007440C5">
        <w:t xml:space="preserve">Table 15 below shows the proportion of private rented properties accredited under the ANUK/Unipol Code of Standards with various kinds of amenity provision.  It shows that provision of amenities, while improving, is still some way short of the levels provided by landlords in Leeds (except for washing machines and fully zoned fire protection).  </w:t>
      </w:r>
    </w:p>
    <w:p w:rsidR="007440C5" w:rsidRPr="007440C5" w:rsidRDefault="007440C5" w:rsidP="00246F32">
      <w:pPr>
        <w:spacing w:after="0"/>
        <w:ind w:left="720"/>
      </w:pPr>
      <w:r w:rsidRPr="007440C5">
        <w:t>It may be that there has been greater competition in Leeds between landlords and with the PBSA sector for student (and parent) demand which has pushed up standards.  Student expectations of their accommodation are increasing and failure to improve provision may well lead to falling demand for properties.</w:t>
      </w:r>
    </w:p>
    <w:p w:rsidR="007440C5" w:rsidRPr="007440C5" w:rsidRDefault="007440C5" w:rsidP="007440C5">
      <w:pPr>
        <w:spacing w:after="0"/>
        <w:ind w:left="720"/>
      </w:pPr>
    </w:p>
    <w:p w:rsidR="007440C5" w:rsidRPr="007440C5" w:rsidRDefault="007440C5" w:rsidP="00246F32">
      <w:pPr>
        <w:tabs>
          <w:tab w:val="left" w:pos="1701"/>
        </w:tabs>
        <w:spacing w:after="0"/>
        <w:ind w:left="720"/>
        <w:rPr>
          <w:i/>
        </w:rPr>
      </w:pPr>
      <w:r w:rsidRPr="007440C5">
        <w:rPr>
          <w:i/>
        </w:rPr>
        <w:t xml:space="preserve"> Table 15:</w:t>
      </w:r>
      <w:r w:rsidR="00246F32">
        <w:rPr>
          <w:i/>
        </w:rPr>
        <w:tab/>
        <w:t>Provision of amenities in off-</w:t>
      </w:r>
      <w:r w:rsidRPr="007440C5">
        <w:rPr>
          <w:i/>
        </w:rPr>
        <w:t>street shared rented housing 2013</w:t>
      </w:r>
    </w:p>
    <w:p w:rsidR="007440C5" w:rsidRPr="007440C5" w:rsidRDefault="007440C5" w:rsidP="007440C5">
      <w:pPr>
        <w:spacing w:after="0"/>
        <w:ind w:left="720"/>
        <w:rPr>
          <w:i/>
        </w:rPr>
      </w:pPr>
    </w:p>
    <w:tbl>
      <w:tblPr>
        <w:tblStyle w:val="TableGrid"/>
        <w:tblW w:w="0" w:type="auto"/>
        <w:tblInd w:w="817" w:type="dxa"/>
        <w:tblLook w:val="04A0" w:firstRow="1" w:lastRow="0" w:firstColumn="1" w:lastColumn="0" w:noHBand="0" w:noVBand="1"/>
      </w:tblPr>
      <w:tblGrid>
        <w:gridCol w:w="3969"/>
        <w:gridCol w:w="1276"/>
        <w:gridCol w:w="1276"/>
        <w:gridCol w:w="1275"/>
      </w:tblGrid>
      <w:tr w:rsidR="007440C5" w:rsidRPr="007440C5" w:rsidTr="00BB288F">
        <w:tc>
          <w:tcPr>
            <w:tcW w:w="3969" w:type="dxa"/>
          </w:tcPr>
          <w:p w:rsidR="007440C5" w:rsidRPr="007440C5" w:rsidRDefault="007440C5" w:rsidP="007440C5">
            <w:pPr>
              <w:spacing w:before="40" w:after="40" w:line="312" w:lineRule="auto"/>
              <w:rPr>
                <w:b/>
                <w:sz w:val="20"/>
              </w:rPr>
            </w:pPr>
            <w:r w:rsidRPr="007440C5">
              <w:rPr>
                <w:b/>
                <w:sz w:val="20"/>
              </w:rPr>
              <w:t>Facilities provided by landlords  in Bradford</w:t>
            </w:r>
          </w:p>
        </w:tc>
        <w:tc>
          <w:tcPr>
            <w:tcW w:w="1276" w:type="dxa"/>
          </w:tcPr>
          <w:p w:rsidR="007440C5" w:rsidRPr="007440C5" w:rsidRDefault="007440C5" w:rsidP="007440C5">
            <w:pPr>
              <w:spacing w:before="40" w:after="40" w:line="312" w:lineRule="auto"/>
              <w:jc w:val="center"/>
              <w:rPr>
                <w:b/>
                <w:sz w:val="20"/>
              </w:rPr>
            </w:pPr>
            <w:r w:rsidRPr="007440C5">
              <w:rPr>
                <w:b/>
                <w:sz w:val="20"/>
              </w:rPr>
              <w:t>2012</w:t>
            </w:r>
          </w:p>
        </w:tc>
        <w:tc>
          <w:tcPr>
            <w:tcW w:w="1276" w:type="dxa"/>
          </w:tcPr>
          <w:p w:rsidR="007440C5" w:rsidRPr="007440C5" w:rsidRDefault="007440C5" w:rsidP="007440C5">
            <w:pPr>
              <w:spacing w:before="40" w:after="40" w:line="312" w:lineRule="auto"/>
              <w:jc w:val="center"/>
              <w:rPr>
                <w:b/>
                <w:sz w:val="20"/>
              </w:rPr>
            </w:pPr>
            <w:r w:rsidRPr="007440C5">
              <w:rPr>
                <w:b/>
                <w:sz w:val="20"/>
              </w:rPr>
              <w:t>2013</w:t>
            </w:r>
          </w:p>
        </w:tc>
        <w:tc>
          <w:tcPr>
            <w:tcW w:w="1275" w:type="dxa"/>
          </w:tcPr>
          <w:p w:rsidR="007440C5" w:rsidRPr="007440C5" w:rsidRDefault="007440C5" w:rsidP="007440C5">
            <w:pPr>
              <w:spacing w:before="40" w:after="40" w:line="312" w:lineRule="auto"/>
              <w:jc w:val="center"/>
              <w:rPr>
                <w:b/>
                <w:sz w:val="20"/>
              </w:rPr>
            </w:pPr>
            <w:r w:rsidRPr="007440C5">
              <w:rPr>
                <w:b/>
                <w:sz w:val="20"/>
              </w:rPr>
              <w:t>% in Leeds</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rFonts w:hAnsi="Calibri"/>
                <w:iCs/>
                <w:color w:val="000000" w:themeColor="text1"/>
                <w:kern w:val="24"/>
                <w:sz w:val="20"/>
                <w:szCs w:val="32"/>
              </w:rPr>
              <w:t>Double beds in all rooms</w:t>
            </w:r>
          </w:p>
        </w:tc>
        <w:tc>
          <w:tcPr>
            <w:tcW w:w="1276" w:type="dxa"/>
          </w:tcPr>
          <w:p w:rsidR="007440C5" w:rsidRPr="007440C5" w:rsidRDefault="007440C5" w:rsidP="007440C5">
            <w:pPr>
              <w:spacing w:before="40" w:after="40" w:line="312" w:lineRule="auto"/>
              <w:ind w:left="360"/>
              <w:rPr>
                <w:rFonts w:hAnsi="Calibri"/>
                <w:iCs/>
                <w:color w:val="000000" w:themeColor="text1"/>
                <w:kern w:val="24"/>
                <w:sz w:val="20"/>
                <w:szCs w:val="32"/>
              </w:rPr>
            </w:pPr>
            <w:r w:rsidRPr="007440C5">
              <w:rPr>
                <w:rFonts w:hAnsi="Calibri"/>
                <w:iCs/>
                <w:color w:val="000000" w:themeColor="text1"/>
                <w:kern w:val="24"/>
                <w:sz w:val="20"/>
                <w:szCs w:val="32"/>
              </w:rPr>
              <w:t>75%</w:t>
            </w:r>
          </w:p>
        </w:tc>
        <w:tc>
          <w:tcPr>
            <w:tcW w:w="1276" w:type="dxa"/>
          </w:tcPr>
          <w:p w:rsidR="007440C5" w:rsidRPr="007440C5" w:rsidRDefault="007440C5" w:rsidP="007440C5">
            <w:pPr>
              <w:spacing w:before="40" w:after="40" w:line="312" w:lineRule="auto"/>
              <w:ind w:left="360"/>
              <w:rPr>
                <w:rFonts w:hAnsi="Calibri"/>
                <w:iCs/>
                <w:color w:val="000000" w:themeColor="text1"/>
                <w:kern w:val="24"/>
                <w:sz w:val="20"/>
                <w:szCs w:val="32"/>
              </w:rPr>
            </w:pPr>
            <w:r w:rsidRPr="007440C5">
              <w:rPr>
                <w:rFonts w:hAnsi="Calibri"/>
                <w:iCs/>
                <w:color w:val="000000" w:themeColor="text1"/>
                <w:kern w:val="24"/>
                <w:sz w:val="20"/>
                <w:szCs w:val="32"/>
              </w:rPr>
              <w:t>76%</w:t>
            </w:r>
          </w:p>
        </w:tc>
        <w:tc>
          <w:tcPr>
            <w:tcW w:w="1275" w:type="dxa"/>
          </w:tcPr>
          <w:p w:rsidR="007440C5" w:rsidRPr="007440C5" w:rsidRDefault="007440C5" w:rsidP="007440C5">
            <w:pPr>
              <w:spacing w:before="40" w:after="40" w:line="312" w:lineRule="auto"/>
              <w:ind w:left="360"/>
              <w:rPr>
                <w:rFonts w:eastAsia="Times New Roman"/>
                <w:sz w:val="20"/>
              </w:rPr>
            </w:pPr>
            <w:r w:rsidRPr="007440C5">
              <w:rPr>
                <w:rFonts w:hAnsi="Calibri"/>
                <w:iCs/>
                <w:color w:val="000000" w:themeColor="text1"/>
                <w:kern w:val="24"/>
                <w:sz w:val="20"/>
                <w:szCs w:val="32"/>
              </w:rPr>
              <w:t>95%</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rFonts w:hAnsi="Calibri"/>
                <w:color w:val="000000" w:themeColor="text1"/>
                <w:kern w:val="24"/>
                <w:sz w:val="20"/>
                <w:szCs w:val="32"/>
              </w:rPr>
              <w:t>Full double glazing</w:t>
            </w:r>
          </w:p>
        </w:tc>
        <w:tc>
          <w:tcPr>
            <w:tcW w:w="1276" w:type="dxa"/>
          </w:tcPr>
          <w:p w:rsidR="007440C5" w:rsidRPr="007440C5" w:rsidRDefault="007440C5" w:rsidP="007440C5">
            <w:pPr>
              <w:spacing w:before="40" w:after="40" w:line="312" w:lineRule="auto"/>
              <w:jc w:val="center"/>
              <w:rPr>
                <w:rFonts w:hAnsi="Calibri"/>
                <w:color w:val="000000" w:themeColor="text1"/>
                <w:kern w:val="24"/>
                <w:sz w:val="20"/>
                <w:szCs w:val="32"/>
              </w:rPr>
            </w:pPr>
            <w:r w:rsidRPr="007440C5">
              <w:rPr>
                <w:rFonts w:hAnsi="Calibri"/>
                <w:color w:val="000000" w:themeColor="text1"/>
                <w:kern w:val="24"/>
                <w:sz w:val="20"/>
                <w:szCs w:val="32"/>
              </w:rPr>
              <w:t>84%</w:t>
            </w:r>
          </w:p>
        </w:tc>
        <w:tc>
          <w:tcPr>
            <w:tcW w:w="1276" w:type="dxa"/>
          </w:tcPr>
          <w:p w:rsidR="007440C5" w:rsidRPr="007440C5" w:rsidRDefault="007440C5" w:rsidP="007440C5">
            <w:pPr>
              <w:spacing w:before="40" w:after="40" w:line="312" w:lineRule="auto"/>
              <w:jc w:val="center"/>
              <w:rPr>
                <w:rFonts w:hAnsi="Calibri"/>
                <w:color w:val="000000" w:themeColor="text1"/>
                <w:kern w:val="24"/>
                <w:sz w:val="20"/>
                <w:szCs w:val="32"/>
              </w:rPr>
            </w:pPr>
            <w:r w:rsidRPr="007440C5">
              <w:rPr>
                <w:rFonts w:hAnsi="Calibri"/>
                <w:color w:val="000000" w:themeColor="text1"/>
                <w:kern w:val="24"/>
                <w:sz w:val="20"/>
                <w:szCs w:val="32"/>
              </w:rPr>
              <w:t>87%</w:t>
            </w:r>
          </w:p>
        </w:tc>
        <w:tc>
          <w:tcPr>
            <w:tcW w:w="1275" w:type="dxa"/>
          </w:tcPr>
          <w:p w:rsidR="007440C5" w:rsidRPr="007440C5" w:rsidRDefault="007440C5" w:rsidP="007440C5">
            <w:pPr>
              <w:spacing w:before="40" w:after="40" w:line="312" w:lineRule="auto"/>
              <w:jc w:val="center"/>
              <w:rPr>
                <w:sz w:val="20"/>
              </w:rPr>
            </w:pPr>
            <w:r w:rsidRPr="007440C5">
              <w:rPr>
                <w:rFonts w:hAnsi="Calibri"/>
                <w:color w:val="000000" w:themeColor="text1"/>
                <w:kern w:val="24"/>
                <w:sz w:val="20"/>
                <w:szCs w:val="32"/>
              </w:rPr>
              <w:t>93%</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rFonts w:hAnsi="Calibri"/>
                <w:color w:val="000000" w:themeColor="text1"/>
                <w:kern w:val="24"/>
                <w:sz w:val="20"/>
                <w:szCs w:val="32"/>
              </w:rPr>
              <w:t>Washing machine</w:t>
            </w:r>
          </w:p>
        </w:tc>
        <w:tc>
          <w:tcPr>
            <w:tcW w:w="1276" w:type="dxa"/>
          </w:tcPr>
          <w:p w:rsidR="007440C5" w:rsidRPr="007440C5" w:rsidRDefault="007440C5" w:rsidP="007440C5">
            <w:pPr>
              <w:spacing w:before="40" w:after="40" w:line="312" w:lineRule="auto"/>
              <w:jc w:val="center"/>
              <w:rPr>
                <w:sz w:val="20"/>
              </w:rPr>
            </w:pPr>
            <w:r w:rsidRPr="007440C5">
              <w:rPr>
                <w:sz w:val="20"/>
              </w:rPr>
              <w:t>84%</w:t>
            </w:r>
          </w:p>
        </w:tc>
        <w:tc>
          <w:tcPr>
            <w:tcW w:w="1276" w:type="dxa"/>
          </w:tcPr>
          <w:p w:rsidR="007440C5" w:rsidRPr="007440C5" w:rsidRDefault="007440C5" w:rsidP="007440C5">
            <w:pPr>
              <w:spacing w:before="40" w:after="40" w:line="312" w:lineRule="auto"/>
              <w:jc w:val="center"/>
              <w:rPr>
                <w:sz w:val="20"/>
              </w:rPr>
            </w:pPr>
            <w:r w:rsidRPr="007440C5">
              <w:rPr>
                <w:sz w:val="20"/>
              </w:rPr>
              <w:t>96%</w:t>
            </w:r>
          </w:p>
        </w:tc>
        <w:tc>
          <w:tcPr>
            <w:tcW w:w="1275" w:type="dxa"/>
          </w:tcPr>
          <w:p w:rsidR="007440C5" w:rsidRPr="007440C5" w:rsidRDefault="007440C5" w:rsidP="007440C5">
            <w:pPr>
              <w:spacing w:before="40" w:after="40" w:line="312" w:lineRule="auto"/>
              <w:jc w:val="center"/>
              <w:rPr>
                <w:sz w:val="20"/>
              </w:rPr>
            </w:pPr>
            <w:r w:rsidRPr="007440C5">
              <w:rPr>
                <w:sz w:val="20"/>
              </w:rPr>
              <w:t>97%</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rFonts w:hAnsi="Calibri"/>
                <w:color w:val="000000" w:themeColor="text1"/>
                <w:kern w:val="24"/>
                <w:sz w:val="20"/>
                <w:szCs w:val="32"/>
              </w:rPr>
              <w:t>Dishwasher</w:t>
            </w:r>
          </w:p>
        </w:tc>
        <w:tc>
          <w:tcPr>
            <w:tcW w:w="1276" w:type="dxa"/>
          </w:tcPr>
          <w:p w:rsidR="007440C5" w:rsidRPr="007440C5" w:rsidRDefault="007440C5" w:rsidP="007440C5">
            <w:pPr>
              <w:spacing w:before="40" w:after="40" w:line="312" w:lineRule="auto"/>
              <w:jc w:val="center"/>
              <w:rPr>
                <w:sz w:val="20"/>
              </w:rPr>
            </w:pPr>
            <w:r w:rsidRPr="007440C5">
              <w:rPr>
                <w:sz w:val="20"/>
              </w:rPr>
              <w:t>9%</w:t>
            </w:r>
          </w:p>
        </w:tc>
        <w:tc>
          <w:tcPr>
            <w:tcW w:w="1276" w:type="dxa"/>
          </w:tcPr>
          <w:p w:rsidR="007440C5" w:rsidRPr="007440C5" w:rsidRDefault="007440C5" w:rsidP="007440C5">
            <w:pPr>
              <w:spacing w:before="40" w:after="40" w:line="312" w:lineRule="auto"/>
              <w:jc w:val="center"/>
              <w:rPr>
                <w:sz w:val="20"/>
              </w:rPr>
            </w:pPr>
            <w:r w:rsidRPr="007440C5">
              <w:rPr>
                <w:sz w:val="20"/>
              </w:rPr>
              <w:t>11%</w:t>
            </w:r>
          </w:p>
        </w:tc>
        <w:tc>
          <w:tcPr>
            <w:tcW w:w="1275" w:type="dxa"/>
          </w:tcPr>
          <w:p w:rsidR="007440C5" w:rsidRPr="007440C5" w:rsidRDefault="007440C5" w:rsidP="007440C5">
            <w:pPr>
              <w:spacing w:before="40" w:after="40" w:line="312" w:lineRule="auto"/>
              <w:jc w:val="center"/>
              <w:rPr>
                <w:sz w:val="20"/>
              </w:rPr>
            </w:pPr>
            <w:r w:rsidRPr="007440C5">
              <w:rPr>
                <w:sz w:val="20"/>
              </w:rPr>
              <w:t>25%</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rFonts w:hAnsi="Calibri"/>
                <w:color w:val="000000" w:themeColor="text1"/>
                <w:kern w:val="24"/>
                <w:sz w:val="20"/>
                <w:szCs w:val="32"/>
              </w:rPr>
              <w:t>Mains interlinked smoke detection</w:t>
            </w:r>
          </w:p>
        </w:tc>
        <w:tc>
          <w:tcPr>
            <w:tcW w:w="1276" w:type="dxa"/>
          </w:tcPr>
          <w:p w:rsidR="007440C5" w:rsidRPr="007440C5" w:rsidRDefault="007440C5" w:rsidP="007440C5">
            <w:pPr>
              <w:spacing w:before="40" w:after="40" w:line="312" w:lineRule="auto"/>
              <w:jc w:val="center"/>
              <w:rPr>
                <w:sz w:val="20"/>
              </w:rPr>
            </w:pPr>
            <w:r w:rsidRPr="007440C5">
              <w:rPr>
                <w:sz w:val="20"/>
              </w:rPr>
              <w:t>42%</w:t>
            </w:r>
          </w:p>
        </w:tc>
        <w:tc>
          <w:tcPr>
            <w:tcW w:w="1276" w:type="dxa"/>
          </w:tcPr>
          <w:p w:rsidR="007440C5" w:rsidRPr="007440C5" w:rsidRDefault="007440C5" w:rsidP="007440C5">
            <w:pPr>
              <w:spacing w:before="40" w:after="40" w:line="312" w:lineRule="auto"/>
              <w:jc w:val="center"/>
              <w:rPr>
                <w:sz w:val="20"/>
              </w:rPr>
            </w:pPr>
            <w:r w:rsidRPr="007440C5">
              <w:rPr>
                <w:sz w:val="20"/>
              </w:rPr>
              <w:t>45%</w:t>
            </w:r>
          </w:p>
        </w:tc>
        <w:tc>
          <w:tcPr>
            <w:tcW w:w="1275" w:type="dxa"/>
          </w:tcPr>
          <w:p w:rsidR="007440C5" w:rsidRPr="007440C5" w:rsidRDefault="007440C5" w:rsidP="007440C5">
            <w:pPr>
              <w:spacing w:before="40" w:after="40" w:line="312" w:lineRule="auto"/>
              <w:jc w:val="center"/>
              <w:rPr>
                <w:sz w:val="20"/>
              </w:rPr>
            </w:pPr>
            <w:r w:rsidRPr="007440C5">
              <w:rPr>
                <w:sz w:val="20"/>
              </w:rPr>
              <w:t>56%</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sz w:val="20"/>
              </w:rPr>
              <w:t>Fully zoned smoke detection</w:t>
            </w:r>
          </w:p>
        </w:tc>
        <w:tc>
          <w:tcPr>
            <w:tcW w:w="1276" w:type="dxa"/>
          </w:tcPr>
          <w:p w:rsidR="007440C5" w:rsidRPr="007440C5" w:rsidRDefault="007440C5" w:rsidP="007440C5">
            <w:pPr>
              <w:spacing w:before="40" w:after="40" w:line="312" w:lineRule="auto"/>
              <w:jc w:val="center"/>
              <w:rPr>
                <w:sz w:val="20"/>
              </w:rPr>
            </w:pPr>
            <w:r w:rsidRPr="007440C5">
              <w:rPr>
                <w:sz w:val="20"/>
              </w:rPr>
              <w:t>35%</w:t>
            </w:r>
          </w:p>
        </w:tc>
        <w:tc>
          <w:tcPr>
            <w:tcW w:w="1276" w:type="dxa"/>
          </w:tcPr>
          <w:p w:rsidR="007440C5" w:rsidRPr="007440C5" w:rsidRDefault="007440C5" w:rsidP="007440C5">
            <w:pPr>
              <w:spacing w:before="40" w:after="40" w:line="312" w:lineRule="auto"/>
              <w:jc w:val="center"/>
              <w:rPr>
                <w:sz w:val="20"/>
              </w:rPr>
            </w:pPr>
            <w:r w:rsidRPr="007440C5">
              <w:rPr>
                <w:sz w:val="20"/>
              </w:rPr>
              <w:t>39%</w:t>
            </w:r>
          </w:p>
        </w:tc>
        <w:tc>
          <w:tcPr>
            <w:tcW w:w="1275" w:type="dxa"/>
          </w:tcPr>
          <w:p w:rsidR="007440C5" w:rsidRPr="007440C5" w:rsidRDefault="007440C5" w:rsidP="007440C5">
            <w:pPr>
              <w:spacing w:before="40" w:after="40" w:line="312" w:lineRule="auto"/>
              <w:jc w:val="center"/>
              <w:rPr>
                <w:sz w:val="20"/>
              </w:rPr>
            </w:pPr>
            <w:r w:rsidRPr="007440C5">
              <w:rPr>
                <w:sz w:val="20"/>
              </w:rPr>
              <w:t>39%</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sz w:val="20"/>
              </w:rPr>
              <w:t>Battery smoke detection</w:t>
            </w:r>
          </w:p>
        </w:tc>
        <w:tc>
          <w:tcPr>
            <w:tcW w:w="1276" w:type="dxa"/>
          </w:tcPr>
          <w:p w:rsidR="007440C5" w:rsidRPr="007440C5" w:rsidRDefault="007440C5" w:rsidP="007440C5">
            <w:pPr>
              <w:spacing w:before="40" w:after="40" w:line="312" w:lineRule="auto"/>
              <w:jc w:val="center"/>
              <w:rPr>
                <w:sz w:val="20"/>
              </w:rPr>
            </w:pPr>
            <w:r w:rsidRPr="007440C5">
              <w:rPr>
                <w:sz w:val="20"/>
              </w:rPr>
              <w:t>15%</w:t>
            </w:r>
          </w:p>
        </w:tc>
        <w:tc>
          <w:tcPr>
            <w:tcW w:w="1276" w:type="dxa"/>
          </w:tcPr>
          <w:p w:rsidR="007440C5" w:rsidRPr="007440C5" w:rsidRDefault="007440C5" w:rsidP="007440C5">
            <w:pPr>
              <w:spacing w:before="40" w:after="40" w:line="312" w:lineRule="auto"/>
              <w:jc w:val="center"/>
              <w:rPr>
                <w:sz w:val="20"/>
              </w:rPr>
            </w:pPr>
            <w:r w:rsidRPr="007440C5">
              <w:rPr>
                <w:sz w:val="20"/>
              </w:rPr>
              <w:t>13%</w:t>
            </w:r>
          </w:p>
        </w:tc>
        <w:tc>
          <w:tcPr>
            <w:tcW w:w="1275" w:type="dxa"/>
          </w:tcPr>
          <w:p w:rsidR="007440C5" w:rsidRPr="007440C5" w:rsidRDefault="007440C5" w:rsidP="007440C5">
            <w:pPr>
              <w:spacing w:before="40" w:after="40" w:line="312" w:lineRule="auto"/>
              <w:jc w:val="center"/>
              <w:rPr>
                <w:sz w:val="20"/>
              </w:rPr>
            </w:pPr>
            <w:r w:rsidRPr="007440C5">
              <w:rPr>
                <w:sz w:val="20"/>
              </w:rPr>
              <w:t>0%</w:t>
            </w:r>
          </w:p>
        </w:tc>
      </w:tr>
      <w:tr w:rsidR="007440C5" w:rsidRPr="007440C5" w:rsidTr="00BB288F">
        <w:tc>
          <w:tcPr>
            <w:tcW w:w="3969" w:type="dxa"/>
          </w:tcPr>
          <w:p w:rsidR="007440C5" w:rsidRPr="007440C5" w:rsidRDefault="007440C5" w:rsidP="007440C5">
            <w:pPr>
              <w:spacing w:before="40" w:after="40" w:line="312" w:lineRule="auto"/>
              <w:rPr>
                <w:sz w:val="20"/>
              </w:rPr>
            </w:pPr>
            <w:r w:rsidRPr="007440C5">
              <w:rPr>
                <w:sz w:val="20"/>
              </w:rPr>
              <w:t>Burglar alarm</w:t>
            </w:r>
          </w:p>
        </w:tc>
        <w:tc>
          <w:tcPr>
            <w:tcW w:w="1276" w:type="dxa"/>
          </w:tcPr>
          <w:p w:rsidR="007440C5" w:rsidRPr="007440C5" w:rsidRDefault="007440C5" w:rsidP="007440C5">
            <w:pPr>
              <w:spacing w:before="40" w:after="40" w:line="312" w:lineRule="auto"/>
              <w:jc w:val="center"/>
              <w:rPr>
                <w:sz w:val="20"/>
              </w:rPr>
            </w:pPr>
            <w:r w:rsidRPr="007440C5">
              <w:rPr>
                <w:sz w:val="20"/>
              </w:rPr>
              <w:t>69%</w:t>
            </w:r>
          </w:p>
        </w:tc>
        <w:tc>
          <w:tcPr>
            <w:tcW w:w="1276" w:type="dxa"/>
          </w:tcPr>
          <w:p w:rsidR="007440C5" w:rsidRPr="007440C5" w:rsidRDefault="007440C5" w:rsidP="007440C5">
            <w:pPr>
              <w:spacing w:before="40" w:after="40" w:line="312" w:lineRule="auto"/>
              <w:jc w:val="center"/>
              <w:rPr>
                <w:sz w:val="20"/>
              </w:rPr>
            </w:pPr>
            <w:r w:rsidRPr="007440C5">
              <w:rPr>
                <w:sz w:val="20"/>
              </w:rPr>
              <w:t>84%</w:t>
            </w:r>
          </w:p>
        </w:tc>
        <w:tc>
          <w:tcPr>
            <w:tcW w:w="1275" w:type="dxa"/>
          </w:tcPr>
          <w:p w:rsidR="007440C5" w:rsidRPr="007440C5" w:rsidRDefault="007440C5" w:rsidP="007440C5">
            <w:pPr>
              <w:spacing w:before="40" w:after="40" w:line="312" w:lineRule="auto"/>
              <w:jc w:val="center"/>
              <w:rPr>
                <w:sz w:val="20"/>
              </w:rPr>
            </w:pPr>
            <w:r w:rsidRPr="007440C5">
              <w:rPr>
                <w:sz w:val="20"/>
              </w:rPr>
              <w:t>88%</w:t>
            </w:r>
          </w:p>
        </w:tc>
      </w:tr>
    </w:tbl>
    <w:p w:rsidR="007440C5" w:rsidRPr="007440C5" w:rsidRDefault="007440C5" w:rsidP="007440C5">
      <w:pPr>
        <w:ind w:firstLine="720"/>
        <w:rPr>
          <w:sz w:val="18"/>
        </w:rPr>
      </w:pPr>
      <w:r w:rsidRPr="007440C5">
        <w:rPr>
          <w:sz w:val="18"/>
        </w:rPr>
        <w:t>(</w:t>
      </w:r>
      <w:r w:rsidRPr="007440C5">
        <w:rPr>
          <w:i/>
          <w:sz w:val="18"/>
        </w:rPr>
        <w:t>Source:  Unipol Owners Briefing 2014</w:t>
      </w:r>
      <w:r w:rsidRPr="007440C5">
        <w:rPr>
          <w:sz w:val="18"/>
        </w:rPr>
        <w:t>)</w:t>
      </w:r>
    </w:p>
    <w:p w:rsidR="00246F32" w:rsidRPr="007440C5" w:rsidRDefault="00246F32" w:rsidP="00246F32">
      <w:pPr>
        <w:rPr>
          <w:b/>
        </w:rPr>
      </w:pPr>
      <w:r w:rsidRPr="007440C5">
        <w:rPr>
          <w:b/>
        </w:rPr>
        <w:t>2.4</w:t>
      </w:r>
      <w:r w:rsidRPr="007440C5">
        <w:rPr>
          <w:b/>
        </w:rPr>
        <w:tab/>
        <w:t>Empty or unlet bed spaces</w:t>
      </w:r>
    </w:p>
    <w:p w:rsidR="00246F32" w:rsidRPr="007440C5" w:rsidRDefault="00246F32" w:rsidP="00246F32">
      <w:pPr>
        <w:ind w:left="720"/>
        <w:rPr>
          <w:rFonts w:cs="Segoe UI"/>
          <w:color w:val="000000"/>
          <w:shd w:val="clear" w:color="auto" w:fill="FFFFFF"/>
        </w:rPr>
      </w:pPr>
      <w:r w:rsidRPr="007440C5">
        <w:t xml:space="preserve">As at July 2014, </w:t>
      </w:r>
      <w:r w:rsidRPr="007440C5">
        <w:rPr>
          <w:rFonts w:cs="Segoe UI"/>
          <w:color w:val="000000"/>
          <w:shd w:val="clear" w:color="auto" w:fill="FFFFFF"/>
        </w:rPr>
        <w:t xml:space="preserve">Unipol had advertised 685 bed spaces in off-street properties since the start of house hunting season. By October 2014, 331 bed spaces have been let, leaving 354 bed spaces unlet. </w:t>
      </w:r>
    </w:p>
    <w:p w:rsidR="007440C5" w:rsidRPr="007440C5" w:rsidRDefault="007440C5" w:rsidP="007440C5">
      <w:pPr>
        <w:ind w:firstLine="720"/>
        <w:rPr>
          <w:sz w:val="18"/>
        </w:rPr>
      </w:pPr>
    </w:p>
    <w:p w:rsidR="007440C5" w:rsidRPr="007440C5" w:rsidRDefault="007440C5" w:rsidP="007440C5">
      <w:pPr>
        <w:ind w:firstLine="720"/>
        <w:rPr>
          <w:sz w:val="18"/>
        </w:rPr>
      </w:pPr>
    </w:p>
    <w:p w:rsidR="007440C5" w:rsidRPr="007440C5" w:rsidRDefault="007440C5" w:rsidP="007440C5">
      <w:pPr>
        <w:ind w:firstLine="720"/>
        <w:rPr>
          <w:sz w:val="18"/>
        </w:rPr>
      </w:pPr>
    </w:p>
    <w:p w:rsidR="007440C5" w:rsidRPr="007440C5" w:rsidRDefault="007440C5" w:rsidP="00246F32">
      <w:pPr>
        <w:tabs>
          <w:tab w:val="left" w:pos="1276"/>
        </w:tabs>
        <w:spacing w:after="0"/>
        <w:ind w:left="720"/>
        <w:rPr>
          <w:rFonts w:cs="Segoe UI"/>
          <w:i/>
          <w:color w:val="000000"/>
          <w:shd w:val="clear" w:color="auto" w:fill="FFFFFF"/>
        </w:rPr>
      </w:pPr>
      <w:r w:rsidRPr="007440C5">
        <w:rPr>
          <w:rFonts w:cs="Segoe UI"/>
          <w:i/>
          <w:color w:val="000000"/>
          <w:shd w:val="clear" w:color="auto" w:fill="FFFFFF"/>
        </w:rPr>
        <w:t>Fig</w:t>
      </w:r>
      <w:r w:rsidR="00246F32">
        <w:rPr>
          <w:rFonts w:cs="Segoe UI"/>
          <w:i/>
          <w:color w:val="000000"/>
          <w:shd w:val="clear" w:color="auto" w:fill="FFFFFF"/>
        </w:rPr>
        <w:t xml:space="preserve"> </w:t>
      </w:r>
      <w:r w:rsidRPr="007440C5">
        <w:rPr>
          <w:rFonts w:cs="Segoe UI"/>
          <w:i/>
          <w:color w:val="000000"/>
          <w:shd w:val="clear" w:color="auto" w:fill="FFFFFF"/>
        </w:rPr>
        <w:t>1: Distribution of empty bed</w:t>
      </w:r>
      <w:r w:rsidR="00E45485">
        <w:rPr>
          <w:rFonts w:cs="Segoe UI"/>
          <w:i/>
          <w:color w:val="000000"/>
          <w:shd w:val="clear" w:color="auto" w:fill="FFFFFF"/>
        </w:rPr>
        <w:t xml:space="preserve"> </w:t>
      </w:r>
      <w:r w:rsidRPr="007440C5">
        <w:rPr>
          <w:rFonts w:cs="Segoe UI"/>
          <w:i/>
          <w:color w:val="000000"/>
          <w:shd w:val="clear" w:color="auto" w:fill="FFFFFF"/>
        </w:rPr>
        <w:t xml:space="preserve">spaces </w:t>
      </w:r>
      <w:r w:rsidRPr="007440C5">
        <w:rPr>
          <w:rFonts w:cs="Segoe UI"/>
          <w:i/>
          <w:color w:val="000000"/>
          <w:shd w:val="clear" w:color="auto" w:fill="FFFFFF"/>
        </w:rPr>
        <w:tab/>
        <w:t xml:space="preserve">     </w:t>
      </w:r>
      <w:r w:rsidR="00246F32">
        <w:rPr>
          <w:rFonts w:cs="Segoe UI"/>
          <w:i/>
          <w:color w:val="000000"/>
          <w:shd w:val="clear" w:color="auto" w:fill="FFFFFF"/>
        </w:rPr>
        <w:tab/>
      </w:r>
      <w:r w:rsidR="00246F32">
        <w:rPr>
          <w:rFonts w:cs="Segoe UI"/>
          <w:i/>
          <w:color w:val="000000"/>
          <w:shd w:val="clear" w:color="auto" w:fill="FFFFFF"/>
        </w:rPr>
        <w:tab/>
      </w:r>
      <w:r w:rsidRPr="007440C5">
        <w:rPr>
          <w:rFonts w:cs="Segoe UI"/>
          <w:i/>
          <w:color w:val="000000"/>
          <w:shd w:val="clear" w:color="auto" w:fill="FFFFFF"/>
        </w:rPr>
        <w:t>Fig 2</w:t>
      </w:r>
      <w:r w:rsidR="00E45485">
        <w:rPr>
          <w:rFonts w:cs="Segoe UI"/>
          <w:i/>
          <w:color w:val="000000"/>
          <w:shd w:val="clear" w:color="auto" w:fill="FFFFFF"/>
        </w:rPr>
        <w:t xml:space="preserve">: </w:t>
      </w:r>
      <w:r w:rsidRPr="007440C5">
        <w:rPr>
          <w:rFonts w:cs="Segoe UI"/>
          <w:i/>
          <w:color w:val="000000"/>
          <w:shd w:val="clear" w:color="auto" w:fill="FFFFFF"/>
        </w:rPr>
        <w:t>Empty bed</w:t>
      </w:r>
      <w:r w:rsidR="00E45485">
        <w:rPr>
          <w:rFonts w:cs="Segoe UI"/>
          <w:i/>
          <w:color w:val="000000"/>
          <w:shd w:val="clear" w:color="auto" w:fill="FFFFFF"/>
        </w:rPr>
        <w:t xml:space="preserve"> </w:t>
      </w:r>
      <w:r w:rsidRPr="007440C5">
        <w:rPr>
          <w:rFonts w:cs="Segoe UI"/>
          <w:i/>
          <w:color w:val="000000"/>
          <w:shd w:val="clear" w:color="auto" w:fill="FFFFFF"/>
        </w:rPr>
        <w:t xml:space="preserve">spaces in areas close to </w:t>
      </w:r>
      <w:r w:rsidR="00246F32">
        <w:rPr>
          <w:rFonts w:cs="Segoe UI"/>
          <w:i/>
          <w:color w:val="000000"/>
          <w:shd w:val="clear" w:color="auto" w:fill="FFFFFF"/>
        </w:rPr>
        <w:tab/>
      </w:r>
      <w:r w:rsidRPr="007440C5">
        <w:rPr>
          <w:rFonts w:cs="Segoe UI"/>
          <w:i/>
          <w:color w:val="000000"/>
          <w:shd w:val="clear" w:color="auto" w:fill="FFFFFF"/>
        </w:rPr>
        <w:t xml:space="preserve">the </w:t>
      </w:r>
      <w:r w:rsidR="00E45485">
        <w:rPr>
          <w:rFonts w:cs="Segoe UI"/>
          <w:i/>
          <w:color w:val="000000"/>
          <w:shd w:val="clear" w:color="auto" w:fill="FFFFFF"/>
        </w:rPr>
        <w:t>advertised on the Unipol d</w:t>
      </w:r>
      <w:r w:rsidRPr="007440C5">
        <w:rPr>
          <w:rFonts w:cs="Segoe UI"/>
          <w:i/>
          <w:color w:val="000000"/>
          <w:shd w:val="clear" w:color="auto" w:fill="FFFFFF"/>
        </w:rPr>
        <w:t xml:space="preserve">atabase </w:t>
      </w:r>
      <w:r w:rsidRPr="007440C5">
        <w:rPr>
          <w:rFonts w:cs="Segoe UI"/>
          <w:i/>
          <w:color w:val="000000"/>
          <w:shd w:val="clear" w:color="auto" w:fill="FFFFFF"/>
        </w:rPr>
        <w:tab/>
      </w:r>
      <w:r w:rsidRPr="007440C5">
        <w:rPr>
          <w:rFonts w:cs="Segoe UI"/>
          <w:i/>
          <w:color w:val="000000"/>
          <w:shd w:val="clear" w:color="auto" w:fill="FFFFFF"/>
        </w:rPr>
        <w:tab/>
        <w:t xml:space="preserve">    </w:t>
      </w:r>
      <w:r w:rsidR="00246F32">
        <w:rPr>
          <w:rFonts w:cs="Segoe UI"/>
          <w:i/>
          <w:color w:val="000000"/>
          <w:shd w:val="clear" w:color="auto" w:fill="FFFFFF"/>
        </w:rPr>
        <w:t xml:space="preserve">       </w:t>
      </w:r>
      <w:r w:rsidRPr="007440C5">
        <w:rPr>
          <w:rFonts w:cs="Segoe UI"/>
          <w:i/>
          <w:color w:val="000000"/>
          <w:shd w:val="clear" w:color="auto" w:fill="FFFFFF"/>
        </w:rPr>
        <w:t>University campus</w:t>
      </w:r>
    </w:p>
    <w:p w:rsidR="007440C5" w:rsidRPr="007440C5" w:rsidRDefault="007440C5" w:rsidP="007440C5">
      <w:pPr>
        <w:spacing w:after="0"/>
        <w:ind w:left="720"/>
        <w:rPr>
          <w:rFonts w:cs="Segoe UI"/>
          <w:i/>
          <w:color w:val="000000"/>
          <w:shd w:val="clear" w:color="auto" w:fill="FFFFFF"/>
        </w:rPr>
      </w:pPr>
    </w:p>
    <w:p w:rsidR="007440C5" w:rsidRPr="007440C5" w:rsidRDefault="007440C5" w:rsidP="007440C5">
      <w:pPr>
        <w:ind w:left="720"/>
        <w:rPr>
          <w:color w:val="FF0000"/>
        </w:rPr>
      </w:pPr>
      <w:r w:rsidRPr="007440C5">
        <w:rPr>
          <w:noProof/>
          <w:lang w:eastAsia="en-GB"/>
        </w:rPr>
        <w:drawing>
          <wp:anchor distT="0" distB="0" distL="114300" distR="114300" simplePos="0" relativeHeight="251671552" behindDoc="0" locked="0" layoutInCell="1" allowOverlap="1" wp14:anchorId="68E1BEA7" wp14:editId="375BF69E">
            <wp:simplePos x="0" y="0"/>
            <wp:positionH relativeFrom="column">
              <wp:posOffset>457200</wp:posOffset>
            </wp:positionH>
            <wp:positionV relativeFrom="paragraph">
              <wp:posOffset>-635</wp:posOffset>
            </wp:positionV>
            <wp:extent cx="2926080" cy="2538095"/>
            <wp:effectExtent l="19050" t="19050" r="26670" b="14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655" t="8944"/>
                    <a:stretch/>
                  </pic:blipFill>
                  <pic:spPr bwMode="auto">
                    <a:xfrm>
                      <a:off x="0" y="0"/>
                      <a:ext cx="2926080" cy="2538095"/>
                    </a:xfrm>
                    <a:prstGeom prst="rect">
                      <a:avLst/>
                    </a:prstGeom>
                    <a:ln>
                      <a:solidFill>
                        <a:srgbClr val="1F497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40C5">
        <w:rPr>
          <w:noProof/>
          <w:lang w:eastAsia="en-GB"/>
        </w:rPr>
        <w:drawing>
          <wp:anchor distT="0" distB="0" distL="114300" distR="114300" simplePos="0" relativeHeight="251670528" behindDoc="0" locked="0" layoutInCell="1" allowOverlap="1" wp14:anchorId="5E10DF18" wp14:editId="484B7170">
            <wp:simplePos x="0" y="0"/>
            <wp:positionH relativeFrom="column">
              <wp:posOffset>3463290</wp:posOffset>
            </wp:positionH>
            <wp:positionV relativeFrom="paragraph">
              <wp:posOffset>-635</wp:posOffset>
            </wp:positionV>
            <wp:extent cx="2910840" cy="2538095"/>
            <wp:effectExtent l="19050" t="19050" r="22860"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320" t="8944"/>
                    <a:stretch/>
                  </pic:blipFill>
                  <pic:spPr bwMode="auto">
                    <a:xfrm>
                      <a:off x="0" y="0"/>
                      <a:ext cx="2910840" cy="2538095"/>
                    </a:xfrm>
                    <a:prstGeom prst="rect">
                      <a:avLst/>
                    </a:prstGeom>
                    <a:ln>
                      <a:solidFill>
                        <a:srgbClr val="1F497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0C5" w:rsidRPr="007440C5" w:rsidRDefault="007440C5" w:rsidP="007440C5">
      <w:pPr>
        <w:ind w:firstLine="720"/>
        <w:rPr>
          <w:i/>
          <w:color w:val="FF0000"/>
          <w:sz w:val="18"/>
        </w:rPr>
      </w:pPr>
      <w:r w:rsidRPr="007440C5">
        <w:rPr>
          <w:i/>
          <w:color w:val="FF0000"/>
          <w:sz w:val="18"/>
        </w:rPr>
        <w:t>(</w:t>
      </w:r>
    </w:p>
    <w:p w:rsidR="007440C5" w:rsidRPr="007440C5" w:rsidRDefault="007440C5" w:rsidP="007440C5">
      <w:pPr>
        <w:ind w:firstLine="720"/>
        <w:rPr>
          <w:i/>
          <w:color w:val="FF0000"/>
          <w:sz w:val="18"/>
        </w:rPr>
      </w:pPr>
    </w:p>
    <w:p w:rsidR="007440C5" w:rsidRPr="007440C5" w:rsidRDefault="007440C5" w:rsidP="007440C5">
      <w:pPr>
        <w:ind w:firstLine="720"/>
        <w:rPr>
          <w:i/>
          <w:color w:val="FF0000"/>
          <w:sz w:val="18"/>
        </w:rPr>
      </w:pPr>
    </w:p>
    <w:p w:rsidR="007440C5" w:rsidRPr="007440C5" w:rsidRDefault="007440C5" w:rsidP="007440C5">
      <w:pPr>
        <w:ind w:firstLine="720"/>
        <w:rPr>
          <w:i/>
          <w:color w:val="FF0000"/>
          <w:sz w:val="18"/>
        </w:rPr>
      </w:pPr>
    </w:p>
    <w:p w:rsidR="007440C5" w:rsidRPr="007440C5" w:rsidRDefault="007440C5" w:rsidP="007440C5">
      <w:pPr>
        <w:ind w:firstLine="720"/>
        <w:rPr>
          <w:i/>
          <w:color w:val="FF0000"/>
          <w:sz w:val="18"/>
        </w:rPr>
      </w:pPr>
    </w:p>
    <w:p w:rsidR="007440C5" w:rsidRPr="007440C5" w:rsidRDefault="007440C5" w:rsidP="007440C5">
      <w:pPr>
        <w:ind w:firstLine="720"/>
        <w:rPr>
          <w:i/>
          <w:color w:val="FF0000"/>
          <w:sz w:val="18"/>
        </w:rPr>
      </w:pPr>
    </w:p>
    <w:p w:rsidR="007440C5" w:rsidRPr="007440C5" w:rsidRDefault="007440C5" w:rsidP="007440C5">
      <w:pPr>
        <w:ind w:firstLine="720"/>
        <w:rPr>
          <w:i/>
          <w:color w:val="FF0000"/>
          <w:sz w:val="18"/>
        </w:rPr>
      </w:pPr>
    </w:p>
    <w:p w:rsidR="007440C5" w:rsidRPr="007440C5" w:rsidRDefault="007440C5" w:rsidP="007440C5">
      <w:pPr>
        <w:rPr>
          <w:i/>
          <w:color w:val="FF0000"/>
          <w:sz w:val="18"/>
        </w:rPr>
      </w:pPr>
    </w:p>
    <w:p w:rsidR="007440C5" w:rsidRPr="00E45485" w:rsidRDefault="00E45485" w:rsidP="007440C5">
      <w:pPr>
        <w:ind w:firstLine="720"/>
        <w:rPr>
          <w:sz w:val="18"/>
        </w:rPr>
      </w:pPr>
      <w:r>
        <w:rPr>
          <w:sz w:val="18"/>
        </w:rPr>
        <w:t>(</w:t>
      </w:r>
      <w:r w:rsidR="007440C5" w:rsidRPr="007440C5">
        <w:rPr>
          <w:i/>
          <w:sz w:val="18"/>
        </w:rPr>
        <w:t>Source:  Unipol 2014</w:t>
      </w:r>
      <w:r>
        <w:rPr>
          <w:sz w:val="18"/>
        </w:rPr>
        <w:t>)</w:t>
      </w:r>
    </w:p>
    <w:p w:rsidR="007440C5" w:rsidRPr="007440C5" w:rsidRDefault="007440C5" w:rsidP="007440C5">
      <w:pPr>
        <w:ind w:left="720"/>
      </w:pPr>
      <w:r w:rsidRPr="007440C5">
        <w:t xml:space="preserve">Figure 1 shows the distribution of empty bed spaces </w:t>
      </w:r>
      <w:r w:rsidR="00E45485">
        <w:t>according to</w:t>
      </w:r>
      <w:r w:rsidRPr="007440C5">
        <w:t xml:space="preserve"> the Unipol database of advertised properties.  It includes </w:t>
      </w:r>
      <w:r w:rsidR="00E45485">
        <w:t xml:space="preserve">properties both within and outside the </w:t>
      </w:r>
      <w:r w:rsidRPr="007440C5">
        <w:rPr>
          <w:rFonts w:cs="Courier New"/>
        </w:rPr>
        <w:t>Unipol</w:t>
      </w:r>
      <w:r w:rsidR="00E45485">
        <w:rPr>
          <w:rFonts w:cs="Courier New"/>
          <w:shd w:val="clear" w:color="auto" w:fill="FFFFFF"/>
        </w:rPr>
        <w:t xml:space="preserve"> C</w:t>
      </w:r>
      <w:r w:rsidRPr="007440C5">
        <w:rPr>
          <w:rFonts w:cs="Courier New"/>
          <w:shd w:val="clear" w:color="auto" w:fill="FFFFFF"/>
        </w:rPr>
        <w:t>ode, as well as large developments. Figure 2 is centred</w:t>
      </w:r>
      <w:r w:rsidRPr="007440C5">
        <w:rPr>
          <w:rFonts w:cs="Courier New"/>
          <w:color w:val="000000"/>
          <w:szCs w:val="20"/>
          <w:shd w:val="clear" w:color="auto" w:fill="FFFFFF"/>
        </w:rPr>
        <w:t xml:space="preserve"> on the Bradford University campus and shows </w:t>
      </w:r>
      <w:r w:rsidR="00E45485">
        <w:rPr>
          <w:rFonts w:cs="Courier New"/>
          <w:color w:val="000000"/>
          <w:szCs w:val="20"/>
          <w:shd w:val="clear" w:color="auto" w:fill="FFFFFF"/>
        </w:rPr>
        <w:t>a</w:t>
      </w:r>
      <w:r w:rsidRPr="007440C5">
        <w:rPr>
          <w:rFonts w:cs="Courier New"/>
          <w:color w:val="000000"/>
          <w:szCs w:val="20"/>
          <w:shd w:val="clear" w:color="auto" w:fill="FFFFFF"/>
        </w:rPr>
        <w:t xml:space="preserve"> cluster of</w:t>
      </w:r>
      <w:r w:rsidRPr="007440C5">
        <w:rPr>
          <w:rFonts w:cs="Courier New"/>
          <w:shd w:val="clear" w:color="auto" w:fill="FFFFFF"/>
        </w:rPr>
        <w:t xml:space="preserve"> empty bed spaces close to </w:t>
      </w:r>
      <w:r w:rsidR="00E45485">
        <w:rPr>
          <w:rFonts w:cs="Courier New"/>
          <w:shd w:val="clear" w:color="auto" w:fill="FFFFFF"/>
        </w:rPr>
        <w:t>it. It is possible that this clustering effect is attributable to</w:t>
      </w:r>
      <w:r w:rsidRPr="007440C5">
        <w:rPr>
          <w:rFonts w:cs="Courier New"/>
          <w:shd w:val="clear" w:color="auto" w:fill="FFFFFF"/>
        </w:rPr>
        <w:t xml:space="preserve"> the relatively high level of voids in some PBSA schemes close to the ca</w:t>
      </w:r>
      <w:r w:rsidR="00D73D5E">
        <w:rPr>
          <w:rFonts w:cs="Courier New"/>
          <w:shd w:val="clear" w:color="auto" w:fill="FFFFFF"/>
        </w:rPr>
        <w:t xml:space="preserve">mpus (especially around </w:t>
      </w:r>
      <w:proofErr w:type="spellStart"/>
      <w:r w:rsidR="00D73D5E">
        <w:rPr>
          <w:rFonts w:cs="Courier New"/>
          <w:shd w:val="clear" w:color="auto" w:fill="FFFFFF"/>
        </w:rPr>
        <w:t>Laisteri</w:t>
      </w:r>
      <w:r w:rsidRPr="007440C5">
        <w:rPr>
          <w:rFonts w:cs="Courier New"/>
          <w:shd w:val="clear" w:color="auto" w:fill="FFFFFF"/>
        </w:rPr>
        <w:t>dge</w:t>
      </w:r>
      <w:proofErr w:type="spellEnd"/>
      <w:r w:rsidRPr="007440C5">
        <w:rPr>
          <w:rFonts w:cs="Courier New"/>
          <w:shd w:val="clear" w:color="auto" w:fill="FFFFFF"/>
        </w:rPr>
        <w:t xml:space="preserve"> Lane).  Figure 1</w:t>
      </w:r>
      <w:r w:rsidR="00D73D5E">
        <w:rPr>
          <w:rFonts w:cs="Courier New"/>
          <w:shd w:val="clear" w:color="auto" w:fill="FFFFFF"/>
        </w:rPr>
        <w:t xml:space="preserve"> shows that there are clusters o</w:t>
      </w:r>
      <w:r w:rsidRPr="007440C5">
        <w:rPr>
          <w:rFonts w:cs="Courier New"/>
          <w:shd w:val="clear" w:color="auto" w:fill="FFFFFF"/>
        </w:rPr>
        <w:t>f empty bed</w:t>
      </w:r>
      <w:r w:rsidR="00D73D5E">
        <w:rPr>
          <w:rFonts w:cs="Courier New"/>
          <w:shd w:val="clear" w:color="auto" w:fill="FFFFFF"/>
        </w:rPr>
        <w:t xml:space="preserve"> </w:t>
      </w:r>
      <w:r w:rsidRPr="007440C5">
        <w:rPr>
          <w:rFonts w:cs="Courier New"/>
          <w:shd w:val="clear" w:color="auto" w:fill="FFFFFF"/>
        </w:rPr>
        <w:t xml:space="preserve">spaces in </w:t>
      </w:r>
      <w:proofErr w:type="spellStart"/>
      <w:r w:rsidRPr="007440C5">
        <w:rPr>
          <w:rFonts w:cs="Courier New"/>
          <w:shd w:val="clear" w:color="auto" w:fill="FFFFFF"/>
        </w:rPr>
        <w:t>Manningham</w:t>
      </w:r>
      <w:proofErr w:type="spellEnd"/>
      <w:r w:rsidR="00D73D5E">
        <w:rPr>
          <w:rFonts w:cs="Courier New"/>
          <w:shd w:val="clear" w:color="auto" w:fill="FFFFFF"/>
        </w:rPr>
        <w:t xml:space="preserve"> and</w:t>
      </w:r>
      <w:r w:rsidRPr="007440C5">
        <w:rPr>
          <w:rFonts w:cs="Courier New"/>
          <w:shd w:val="clear" w:color="auto" w:fill="FFFFFF"/>
        </w:rPr>
        <w:t xml:space="preserve"> Heaton and in the Great Horton area.</w:t>
      </w: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7440C5" w:rsidRPr="007440C5" w:rsidRDefault="007440C5" w:rsidP="007440C5">
      <w:pPr>
        <w:rPr>
          <w:color w:val="FF0000"/>
        </w:rPr>
      </w:pPr>
    </w:p>
    <w:p w:rsidR="00246F32" w:rsidRDefault="00246F32">
      <w:pPr>
        <w:rPr>
          <w:b/>
          <w:sz w:val="36"/>
          <w:szCs w:val="28"/>
        </w:rPr>
      </w:pPr>
      <w:r>
        <w:rPr>
          <w:b/>
          <w:sz w:val="36"/>
          <w:szCs w:val="28"/>
        </w:rPr>
        <w:br w:type="page"/>
      </w:r>
    </w:p>
    <w:p w:rsidR="007440C5" w:rsidRPr="007440C5" w:rsidRDefault="007E1EE0" w:rsidP="007440C5">
      <w:pPr>
        <w:rPr>
          <w:b/>
          <w:sz w:val="36"/>
          <w:szCs w:val="28"/>
        </w:rPr>
      </w:pPr>
      <w:r>
        <w:rPr>
          <w:b/>
          <w:sz w:val="36"/>
          <w:szCs w:val="28"/>
        </w:rPr>
        <w:lastRenderedPageBreak/>
        <w:tab/>
      </w:r>
      <w:r w:rsidR="007440C5" w:rsidRPr="007440C5">
        <w:rPr>
          <w:b/>
          <w:sz w:val="36"/>
          <w:szCs w:val="28"/>
        </w:rPr>
        <w:t>Section 3</w:t>
      </w:r>
      <w:r>
        <w:rPr>
          <w:b/>
          <w:sz w:val="36"/>
          <w:szCs w:val="28"/>
        </w:rPr>
        <w:t>:</w:t>
      </w:r>
      <w:r>
        <w:rPr>
          <w:b/>
          <w:sz w:val="36"/>
          <w:szCs w:val="28"/>
        </w:rPr>
        <w:tab/>
      </w:r>
      <w:r w:rsidR="007440C5" w:rsidRPr="007440C5">
        <w:rPr>
          <w:b/>
          <w:sz w:val="36"/>
          <w:szCs w:val="28"/>
        </w:rPr>
        <w:t>Student demand</w:t>
      </w:r>
    </w:p>
    <w:p w:rsidR="00760D1B" w:rsidRPr="00B741CD" w:rsidRDefault="007440C5" w:rsidP="00760D1B">
      <w:r w:rsidRPr="00760D1B">
        <w:t>3.0</w:t>
      </w:r>
      <w:r w:rsidRPr="007440C5">
        <w:rPr>
          <w:b/>
        </w:rPr>
        <w:tab/>
      </w:r>
      <w:r w:rsidR="00760D1B">
        <w:t xml:space="preserve">This section summarises the complex and dynamic national higher education policy and market </w:t>
      </w:r>
      <w:r w:rsidR="00760D1B">
        <w:tab/>
        <w:t xml:space="preserve">environments. Because these national factors feed through directly to institutional recruitment </w:t>
      </w:r>
      <w:r w:rsidR="00760D1B">
        <w:tab/>
        <w:t xml:space="preserve">performance, this is considered important context in which to locate the historic student number </w:t>
      </w:r>
      <w:r w:rsidR="00760D1B">
        <w:tab/>
        <w:t xml:space="preserve">trends in Bradford and forecasts on intakes and overall student populations, which are described </w:t>
      </w:r>
      <w:r w:rsidR="00760D1B">
        <w:tab/>
        <w:t xml:space="preserve">thereafter. It also provides a commentary on evidence of changing accommodation preferences for </w:t>
      </w:r>
      <w:r w:rsidR="00760D1B">
        <w:tab/>
        <w:t>accommodation among students.</w:t>
      </w:r>
    </w:p>
    <w:p w:rsidR="007440C5" w:rsidRPr="007440C5" w:rsidRDefault="007440C5" w:rsidP="007440C5">
      <w:pPr>
        <w:rPr>
          <w:b/>
        </w:rPr>
      </w:pPr>
      <w:r w:rsidRPr="007440C5">
        <w:rPr>
          <w:b/>
        </w:rPr>
        <w:t>3.1</w:t>
      </w:r>
      <w:r w:rsidRPr="007440C5">
        <w:rPr>
          <w:b/>
        </w:rPr>
        <w:tab/>
        <w:t>Survey of the higher education sector</w:t>
      </w:r>
    </w:p>
    <w:p w:rsidR="007440C5" w:rsidRPr="007440C5" w:rsidRDefault="007440C5" w:rsidP="00BF0DA8">
      <w:pPr>
        <w:tabs>
          <w:tab w:val="left" w:pos="1701"/>
        </w:tabs>
        <w:ind w:firstLine="720"/>
        <w:rPr>
          <w:i/>
        </w:rPr>
      </w:pPr>
      <w:r w:rsidRPr="007440C5">
        <w:rPr>
          <w:i/>
          <w:noProof/>
          <w:lang w:eastAsia="en-GB"/>
        </w:rPr>
        <w:drawing>
          <wp:anchor distT="0" distB="0" distL="114300" distR="114300" simplePos="0" relativeHeight="251659264" behindDoc="0" locked="0" layoutInCell="1" allowOverlap="1" wp14:anchorId="114BA7BD" wp14:editId="1E6EAD2B">
            <wp:simplePos x="0" y="0"/>
            <wp:positionH relativeFrom="column">
              <wp:posOffset>506730</wp:posOffset>
            </wp:positionH>
            <wp:positionV relativeFrom="paragraph">
              <wp:posOffset>325120</wp:posOffset>
            </wp:positionV>
            <wp:extent cx="3876675" cy="2782570"/>
            <wp:effectExtent l="0" t="0" r="9525" b="177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F0DA8">
        <w:rPr>
          <w:i/>
        </w:rPr>
        <w:t>Graph 1:</w:t>
      </w:r>
      <w:r w:rsidR="00BF0DA8">
        <w:rPr>
          <w:i/>
        </w:rPr>
        <w:tab/>
      </w:r>
      <w:r w:rsidRPr="007440C5">
        <w:rPr>
          <w:i/>
        </w:rPr>
        <w:t>UK student acceptances by domicile 2004/05 – 2013/14</w:t>
      </w:r>
    </w:p>
    <w:p w:rsidR="007440C5" w:rsidRPr="007440C5" w:rsidRDefault="007440C5" w:rsidP="007440C5"/>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7440C5" w:rsidRDefault="007440C5" w:rsidP="007440C5">
      <w:pPr>
        <w:spacing w:before="120" w:after="0" w:line="240" w:lineRule="auto"/>
        <w:rPr>
          <w:i/>
        </w:rPr>
      </w:pPr>
    </w:p>
    <w:p w:rsidR="007440C5" w:rsidRPr="00642792" w:rsidRDefault="00642792" w:rsidP="007440C5">
      <w:pPr>
        <w:spacing w:before="120" w:after="0" w:line="240" w:lineRule="auto"/>
        <w:ind w:firstLine="720"/>
        <w:rPr>
          <w:sz w:val="18"/>
          <w:szCs w:val="18"/>
        </w:rPr>
      </w:pPr>
      <w:r>
        <w:rPr>
          <w:sz w:val="18"/>
          <w:szCs w:val="18"/>
        </w:rPr>
        <w:t>(</w:t>
      </w:r>
      <w:r w:rsidR="007440C5" w:rsidRPr="007440C5">
        <w:rPr>
          <w:i/>
          <w:sz w:val="18"/>
          <w:szCs w:val="18"/>
        </w:rPr>
        <w:t>Source: UCAS</w:t>
      </w:r>
      <w:r>
        <w:rPr>
          <w:sz w:val="18"/>
          <w:szCs w:val="18"/>
        </w:rPr>
        <w:t>)</w:t>
      </w:r>
    </w:p>
    <w:p w:rsidR="007440C5" w:rsidRPr="007440C5" w:rsidRDefault="007440C5" w:rsidP="007440C5">
      <w:pPr>
        <w:spacing w:before="120" w:after="0"/>
        <w:ind w:left="720"/>
      </w:pPr>
      <w:r w:rsidRPr="007440C5">
        <w:t>Graph 1 shows overall sustained growth in full-time student acceptances over the last decade. This reflects a long-term government policy of expansionism, which dates back to the late 1980s. This growth has been sustained in recognition of the need for the higher education sector to supply high-level intellectual capital in far greater volume into an economy and labour market that place ever-increasing value on knowledge over other traditional job skills.</w:t>
      </w:r>
    </w:p>
    <w:p w:rsidR="007440C5" w:rsidRPr="007440C5" w:rsidRDefault="007440C5" w:rsidP="007440C5">
      <w:pPr>
        <w:spacing w:before="120" w:after="0"/>
        <w:ind w:left="720"/>
      </w:pPr>
      <w:r w:rsidRPr="007440C5">
        <w:t>Aberrations within the upward trend are attributable to the introduction of tuition fees and subsequent hikes in their chargeable level. Most recently the near-trebling of fees in autumn 2012 created substantial volatility within the sector, reflected in the marked dip for that year’s entrants. These intermittent adjustments to tuition fee levels are an expression of a political consensus that the beneficiaries of higher education should directly bear increasingly more of the cost of providing it than the tax payer. The extent of the 2012 rise had to do with the urgent need, exacerbated by strong recessionary forces, to resolve funding pressures in the system and to deliver more degrees at a lower unit cost.</w:t>
      </w:r>
    </w:p>
    <w:p w:rsidR="007440C5" w:rsidRPr="007440C5" w:rsidRDefault="007440C5" w:rsidP="007440C5">
      <w:pPr>
        <w:spacing w:before="120" w:after="0"/>
        <w:ind w:left="720"/>
      </w:pPr>
      <w:r w:rsidRPr="007440C5">
        <w:t>The mood of uncertainty evinced by the raising of the fee cap in 2012 was significantly compounded by the simultaneous introduction of a far-reaching package of reforms, in origin partly pragmatic (retrenchment) and partly ideological (marketization). In summary, these comprised:</w:t>
      </w:r>
    </w:p>
    <w:p w:rsidR="007440C5" w:rsidRPr="007440C5" w:rsidRDefault="007440C5" w:rsidP="00BF0DA8">
      <w:pPr>
        <w:numPr>
          <w:ilvl w:val="0"/>
          <w:numId w:val="13"/>
        </w:numPr>
        <w:spacing w:before="120" w:after="0"/>
        <w:ind w:left="993" w:hanging="273"/>
        <w:rPr>
          <w:rFonts w:ascii="Calibri" w:eastAsia="Calibri" w:hAnsi="Calibri" w:cs="Arial"/>
          <w:lang w:eastAsia="en-GB"/>
        </w:rPr>
      </w:pPr>
      <w:r w:rsidRPr="007440C5">
        <w:rPr>
          <w:rFonts w:ascii="Calibri" w:eastAsia="Calibri" w:hAnsi="Calibri" w:cs="Arial"/>
        </w:rPr>
        <w:lastRenderedPageBreak/>
        <w:t>establishing a new student loans system to enable the transfer of funding from the public to the private purse by spreading the cost to consumers through graduate repayments to the Treasury, made over the course of each student’s post-qualification career</w:t>
      </w:r>
    </w:p>
    <w:p w:rsidR="007440C5" w:rsidRPr="007440C5" w:rsidRDefault="007440C5" w:rsidP="00BF0DA8">
      <w:pPr>
        <w:numPr>
          <w:ilvl w:val="0"/>
          <w:numId w:val="13"/>
        </w:numPr>
        <w:spacing w:before="120" w:after="0"/>
        <w:ind w:left="993" w:hanging="273"/>
        <w:rPr>
          <w:rFonts w:ascii="Calibri" w:eastAsia="Calibri" w:hAnsi="Calibri" w:cs="Arial"/>
          <w:lang w:eastAsia="en-GB"/>
        </w:rPr>
      </w:pPr>
      <w:r w:rsidRPr="007440C5">
        <w:rPr>
          <w:rFonts w:ascii="Calibri" w:eastAsia="Calibri" w:hAnsi="Calibri" w:cs="Arial"/>
          <w:lang w:eastAsia="en-GB"/>
        </w:rPr>
        <w:t>allowing universities to recruit as many high-graded students as they can (grades AAB+ for 2012/13 and ABB+ for 2013/14 and 2014/15)</w:t>
      </w:r>
    </w:p>
    <w:p w:rsidR="007440C5" w:rsidRPr="007440C5" w:rsidRDefault="007440C5" w:rsidP="00BF0DA8">
      <w:pPr>
        <w:numPr>
          <w:ilvl w:val="0"/>
          <w:numId w:val="13"/>
        </w:numPr>
        <w:spacing w:before="120" w:after="0"/>
        <w:ind w:left="993" w:hanging="273"/>
        <w:rPr>
          <w:rFonts w:ascii="Calibri" w:eastAsia="Calibri" w:hAnsi="Calibri" w:cs="Arial"/>
          <w:lang w:eastAsia="en-GB"/>
        </w:rPr>
      </w:pPr>
      <w:r w:rsidRPr="007440C5">
        <w:rPr>
          <w:rFonts w:ascii="Calibri" w:eastAsia="Calibri" w:hAnsi="Calibri" w:cs="Arial"/>
          <w:lang w:eastAsia="en-GB"/>
        </w:rPr>
        <w:t xml:space="preserve">retaining an overall cap on the numbers of students in the system in order to manage the costs of the government-funded student loans book </w:t>
      </w:r>
    </w:p>
    <w:p w:rsidR="007440C5" w:rsidRPr="007440C5" w:rsidRDefault="007440C5" w:rsidP="00BF0DA8">
      <w:pPr>
        <w:numPr>
          <w:ilvl w:val="0"/>
          <w:numId w:val="13"/>
        </w:numPr>
        <w:spacing w:before="120" w:after="0"/>
        <w:ind w:left="993" w:hanging="273"/>
        <w:rPr>
          <w:rFonts w:ascii="Calibri" w:eastAsia="Calibri" w:hAnsi="Calibri" w:cs="Arial"/>
          <w:lang w:eastAsia="en-GB"/>
        </w:rPr>
      </w:pPr>
      <w:r w:rsidRPr="007440C5">
        <w:rPr>
          <w:rFonts w:ascii="Calibri" w:eastAsia="Calibri" w:hAnsi="Calibri" w:cs="Arial"/>
          <w:lang w:eastAsia="en-GB"/>
        </w:rPr>
        <w:t xml:space="preserve">making available a ‘flexible margin’ of places (20,000 in 2012/13, and a reallocation of 5,000 in 2013/14) for lower-charging institutions in order to reward providers who offer good quality and value for money </w:t>
      </w:r>
    </w:p>
    <w:p w:rsidR="007440C5" w:rsidRPr="007440C5" w:rsidRDefault="007440C5" w:rsidP="00BF0DA8">
      <w:pPr>
        <w:numPr>
          <w:ilvl w:val="0"/>
          <w:numId w:val="13"/>
        </w:numPr>
        <w:spacing w:before="120" w:after="0"/>
        <w:ind w:left="993" w:hanging="273"/>
        <w:rPr>
          <w:rFonts w:ascii="Calibri" w:eastAsia="Calibri" w:hAnsi="Calibri" w:cs="Arial"/>
          <w:lang w:eastAsia="en-GB"/>
        </w:rPr>
      </w:pPr>
      <w:r w:rsidRPr="007440C5">
        <w:rPr>
          <w:rFonts w:ascii="Calibri" w:eastAsia="Calibri" w:hAnsi="Calibri" w:cs="Arial"/>
          <w:lang w:eastAsia="en-GB"/>
        </w:rPr>
        <w:t>putting in place measures to encourage new providers (further education colleges and commercial operators) to enter the market in order to extend competition and choice and to help reduce the costs of provision</w:t>
      </w:r>
    </w:p>
    <w:p w:rsidR="007440C5" w:rsidRPr="007440C5" w:rsidRDefault="007440C5" w:rsidP="00BF0DA8">
      <w:pPr>
        <w:numPr>
          <w:ilvl w:val="0"/>
          <w:numId w:val="13"/>
        </w:numPr>
        <w:spacing w:before="120" w:after="0"/>
        <w:ind w:left="993" w:hanging="273"/>
      </w:pPr>
      <w:r w:rsidRPr="007440C5">
        <w:rPr>
          <w:rFonts w:ascii="Calibri" w:eastAsia="Calibri" w:hAnsi="Calibri" w:cs="Arial"/>
          <w:lang w:eastAsia="en-GB"/>
        </w:rPr>
        <w:t>empowering applicants to make better choices by requiring institutions to publish a range of detailed information, including course-level satisfaction amongst students and post-qualification employment rates and salary levels – and thereby bringing consumer pressure on HEIs to improve the quality of their services.</w:t>
      </w:r>
    </w:p>
    <w:p w:rsidR="007440C5" w:rsidRPr="007440C5" w:rsidRDefault="007440C5" w:rsidP="007440C5">
      <w:pPr>
        <w:spacing w:before="120" w:after="0"/>
        <w:ind w:left="720"/>
      </w:pPr>
      <w:r w:rsidRPr="007440C5">
        <w:t>In student number terms, the immediate impact of these measures was a sharp drop in the intake in 2012 for England – 28,000, nine per cent below the anticipated level. There was much debate at the time about the specific causes of this contraction and whether it was likely to be a transitory or enduring effect. On the specific question of the fee hike, HEPI’s assessment turned out to be right: the short-term impact of the rise in tuition fees was ‘negligible’ once ephemeral factors (e</w:t>
      </w:r>
      <w:r w:rsidR="00642792">
        <w:t xml:space="preserve">.g. </w:t>
      </w:r>
      <w:r w:rsidRPr="007440C5">
        <w:t xml:space="preserve">deferments) had been filtered out. </w:t>
      </w:r>
      <w:r w:rsidRPr="007440C5">
        <w:rPr>
          <w:vertAlign w:val="superscript"/>
        </w:rPr>
        <w:footnoteReference w:id="13"/>
      </w:r>
      <w:r w:rsidRPr="007440C5">
        <w:t xml:space="preserve"> The autumn 2013 recruitment round saw a return to growth, albeit more modest than the annual trend over the preceding decade. Questions remained, however, about the nature of the bounce and whether other drags on expansion had gone away or not. Prevailing headwinds identified by sceptics include:</w:t>
      </w:r>
    </w:p>
    <w:p w:rsidR="007440C5" w:rsidRPr="007440C5" w:rsidRDefault="007440C5" w:rsidP="00BF0DA8">
      <w:pPr>
        <w:numPr>
          <w:ilvl w:val="0"/>
          <w:numId w:val="12"/>
        </w:numPr>
        <w:spacing w:before="120" w:after="0"/>
        <w:ind w:left="993" w:hanging="273"/>
        <w:rPr>
          <w:rFonts w:ascii="Calibri" w:eastAsia="Times New Roman" w:hAnsi="Calibri" w:cs="Arial"/>
          <w:lang w:eastAsia="en-GB"/>
        </w:rPr>
      </w:pPr>
      <w:r w:rsidRPr="007440C5">
        <w:rPr>
          <w:rFonts w:ascii="Calibri" w:eastAsia="Times New Roman" w:hAnsi="Calibri" w:cs="Arial"/>
          <w:lang w:eastAsia="en-GB"/>
        </w:rPr>
        <w:t>The 2011 Census confirms a major and sustained fall in the number of 18</w:t>
      </w:r>
      <w:r w:rsidR="00BF0DA8">
        <w:rPr>
          <w:rFonts w:ascii="Calibri" w:eastAsia="Times New Roman" w:hAnsi="Calibri" w:cs="Arial"/>
          <w:lang w:eastAsia="en-GB"/>
        </w:rPr>
        <w:t>-</w:t>
      </w:r>
      <w:r w:rsidRPr="007440C5">
        <w:rPr>
          <w:rFonts w:ascii="Calibri" w:eastAsia="Times New Roman" w:hAnsi="Calibri" w:cs="Arial"/>
          <w:lang w:eastAsia="en-GB"/>
        </w:rPr>
        <w:t xml:space="preserve">20 year olds in the UK. Writing in 2008, the authors of </w:t>
      </w:r>
      <w:r w:rsidRPr="007440C5">
        <w:rPr>
          <w:rFonts w:ascii="Calibri" w:eastAsia="Times New Roman" w:hAnsi="Calibri" w:cs="Arial"/>
          <w:i/>
          <w:lang w:eastAsia="en-GB"/>
        </w:rPr>
        <w:t>The future size and shape of higher education sector in the UK</w:t>
      </w:r>
      <w:r w:rsidRPr="007440C5">
        <w:rPr>
          <w:rFonts w:ascii="Calibri" w:eastAsia="Times New Roman" w:hAnsi="Calibri" w:cs="Arial"/>
          <w:lang w:eastAsia="en-GB"/>
        </w:rPr>
        <w:t xml:space="preserve"> forecast a drop of 70,000 (-4.6 per cent) student places on contemporaneous figures by 2020 as a result of demographic shrinkage for this age group, indicating t</w:t>
      </w:r>
      <w:r w:rsidR="00BF0DA8">
        <w:rPr>
          <w:rFonts w:ascii="Calibri" w:eastAsia="Times New Roman" w:hAnsi="Calibri" w:cs="Arial"/>
          <w:lang w:eastAsia="en-GB"/>
        </w:rPr>
        <w:t>hat universities would have to ‘</w:t>
      </w:r>
      <w:r w:rsidRPr="007440C5">
        <w:rPr>
          <w:rFonts w:ascii="Calibri" w:eastAsia="Times New Roman" w:hAnsi="Calibri" w:cs="Arial"/>
          <w:lang w:eastAsia="en-GB"/>
        </w:rPr>
        <w:t xml:space="preserve">seize new markets for older, </w:t>
      </w:r>
      <w:r w:rsidR="00BF0DA8">
        <w:rPr>
          <w:rFonts w:ascii="Calibri" w:eastAsia="Times New Roman" w:hAnsi="Calibri" w:cs="Arial"/>
          <w:lang w:eastAsia="en-GB"/>
        </w:rPr>
        <w:t>part-time and overseas students’</w:t>
      </w:r>
      <w:r w:rsidRPr="007440C5">
        <w:rPr>
          <w:rFonts w:ascii="Calibri" w:eastAsia="Times New Roman" w:hAnsi="Calibri" w:cs="Arial"/>
          <w:lang w:eastAsia="en-GB"/>
        </w:rPr>
        <w:t>, categories for which many institutions currently face significant recruitment challenges</w:t>
      </w:r>
      <w:r w:rsidRPr="007440C5">
        <w:rPr>
          <w:vertAlign w:val="superscript"/>
          <w:lang w:eastAsia="en-GB"/>
        </w:rPr>
        <w:footnoteReference w:id="14"/>
      </w:r>
    </w:p>
    <w:p w:rsidR="007440C5" w:rsidRPr="007440C5" w:rsidRDefault="007440C5" w:rsidP="00BF0DA8">
      <w:pPr>
        <w:numPr>
          <w:ilvl w:val="0"/>
          <w:numId w:val="12"/>
        </w:numPr>
        <w:spacing w:before="120" w:after="0"/>
        <w:ind w:left="993" w:hanging="273"/>
        <w:rPr>
          <w:rFonts w:ascii="Calibri" w:eastAsia="Times New Roman" w:hAnsi="Calibri" w:cs="Arial"/>
          <w:lang w:eastAsia="en-GB"/>
        </w:rPr>
      </w:pPr>
      <w:r w:rsidRPr="007440C5">
        <w:rPr>
          <w:rFonts w:ascii="Calibri" w:eastAsia="Times New Roman" w:hAnsi="Calibri" w:cs="Arial"/>
          <w:lang w:eastAsia="en-GB"/>
        </w:rPr>
        <w:t xml:space="preserve">In the June 2013 spending review the Department for Business, Innovation and Skills suffered a further </w:t>
      </w:r>
      <w:r w:rsidR="00642792">
        <w:rPr>
          <w:rFonts w:ascii="Calibri" w:eastAsia="Times New Roman" w:hAnsi="Calibri" w:cs="Arial"/>
          <w:lang w:eastAsia="en-GB"/>
        </w:rPr>
        <w:t>six per cent</w:t>
      </w:r>
      <w:r w:rsidRPr="007440C5">
        <w:rPr>
          <w:rFonts w:ascii="Calibri" w:eastAsia="Times New Roman" w:hAnsi="Calibri" w:cs="Arial"/>
          <w:lang w:eastAsia="en-GB"/>
        </w:rPr>
        <w:t xml:space="preserve"> cut for the 2015/16 with student grants frozen</w:t>
      </w:r>
    </w:p>
    <w:p w:rsidR="007440C5" w:rsidRPr="007440C5" w:rsidRDefault="007440C5" w:rsidP="00BF0DA8">
      <w:pPr>
        <w:numPr>
          <w:ilvl w:val="0"/>
          <w:numId w:val="12"/>
        </w:numPr>
        <w:spacing w:before="120" w:after="0"/>
        <w:ind w:left="993" w:hanging="273"/>
        <w:rPr>
          <w:rFonts w:ascii="Calibri" w:eastAsia="Times New Roman" w:hAnsi="Calibri" w:cs="Arial"/>
          <w:lang w:eastAsia="en-GB"/>
        </w:rPr>
      </w:pPr>
      <w:r w:rsidRPr="007440C5">
        <w:rPr>
          <w:rFonts w:ascii="Calibri" w:eastAsia="Times New Roman" w:hAnsi="Calibri" w:cs="Arial"/>
          <w:lang w:eastAsia="en-GB"/>
        </w:rPr>
        <w:t>Science and research funding, whilst ‘protected’ by the Chancellor as held flat in cash terms, has been handed a real-terms cut of 8.7 per cent between 2010/11 and 2017/18</w:t>
      </w:r>
      <w:r w:rsidRPr="007440C5">
        <w:rPr>
          <w:rFonts w:eastAsia="Calibri"/>
          <w:vertAlign w:val="superscript"/>
        </w:rPr>
        <w:footnoteReference w:id="15"/>
      </w:r>
    </w:p>
    <w:p w:rsidR="007440C5" w:rsidRPr="007440C5" w:rsidRDefault="007440C5" w:rsidP="00BF0DA8">
      <w:pPr>
        <w:numPr>
          <w:ilvl w:val="0"/>
          <w:numId w:val="12"/>
        </w:numPr>
        <w:spacing w:before="120" w:after="0"/>
        <w:ind w:left="993" w:hanging="273"/>
        <w:rPr>
          <w:rFonts w:ascii="Calibri" w:eastAsia="Times New Roman" w:hAnsi="Calibri" w:cs="Arial"/>
          <w:lang w:eastAsia="en-GB"/>
        </w:rPr>
      </w:pPr>
      <w:r w:rsidRPr="007440C5">
        <w:rPr>
          <w:rFonts w:ascii="Calibri" w:eastAsia="Times New Roman" w:hAnsi="Calibri" w:cs="Arial"/>
          <w:lang w:eastAsia="en-GB"/>
        </w:rPr>
        <w:lastRenderedPageBreak/>
        <w:t>A major deficit in the accounts of the government’s students loans system as a result of the Treasury’s over-estimation of revenue from student loan repayments may be clawed back through further funding cuts in higher education</w:t>
      </w:r>
      <w:r w:rsidRPr="007440C5">
        <w:rPr>
          <w:rFonts w:eastAsia="Calibri"/>
          <w:vertAlign w:val="superscript"/>
        </w:rPr>
        <w:footnoteReference w:id="16"/>
      </w:r>
      <w:r w:rsidRPr="007440C5">
        <w:rPr>
          <w:rFonts w:ascii="Calibri" w:eastAsia="Times New Roman" w:hAnsi="Calibri" w:cs="Arial"/>
          <w:lang w:eastAsia="en-GB"/>
        </w:rPr>
        <w:t xml:space="preserve"> </w:t>
      </w:r>
    </w:p>
    <w:p w:rsidR="007440C5" w:rsidRPr="007440C5" w:rsidRDefault="007440C5" w:rsidP="00BF0DA8">
      <w:pPr>
        <w:numPr>
          <w:ilvl w:val="0"/>
          <w:numId w:val="12"/>
        </w:numPr>
        <w:spacing w:before="120" w:after="0"/>
        <w:ind w:left="993" w:hanging="273"/>
        <w:rPr>
          <w:rFonts w:ascii="Calibri" w:eastAsia="Times New Roman" w:hAnsi="Calibri" w:cs="Times New Roman"/>
          <w:lang w:val="en" w:eastAsia="en-GB"/>
        </w:rPr>
      </w:pPr>
      <w:r w:rsidRPr="007440C5">
        <w:rPr>
          <w:rFonts w:ascii="Calibri" w:eastAsia="Times New Roman" w:hAnsi="Calibri" w:cs="Arial"/>
          <w:lang w:eastAsia="en-GB"/>
        </w:rPr>
        <w:t>Decline in postgraduate and part-time student numbers is becoming an entrenched feature of the market following years of policy neglect. The most up-to-date figures available from the Higher Education Statistics Agency show that a</w:t>
      </w:r>
      <w:r w:rsidRPr="007440C5">
        <w:rPr>
          <w:rFonts w:ascii="Calibri" w:eastAsia="Times New Roman" w:hAnsi="Calibri" w:cs="Times New Roman"/>
          <w:lang w:val="en" w:eastAsia="en-GB"/>
        </w:rPr>
        <w:t xml:space="preserve"> total of 568,505 students were in postgraduate education in 2011</w:t>
      </w:r>
      <w:r w:rsidR="00BF0DA8">
        <w:rPr>
          <w:rFonts w:ascii="Calibri" w:eastAsia="Times New Roman" w:hAnsi="Calibri" w:cs="Times New Roman"/>
          <w:lang w:val="en" w:eastAsia="en-GB"/>
        </w:rPr>
        <w:t>/</w:t>
      </w:r>
      <w:r w:rsidRPr="007440C5">
        <w:rPr>
          <w:rFonts w:ascii="Calibri" w:eastAsia="Times New Roman" w:hAnsi="Calibri" w:cs="Times New Roman"/>
          <w:lang w:val="en" w:eastAsia="en-GB"/>
        </w:rPr>
        <w:t xml:space="preserve">12 </w:t>
      </w:r>
      <w:r w:rsidR="00BF0DA8">
        <w:rPr>
          <w:rFonts w:ascii="Calibri" w:eastAsia="Times New Roman" w:hAnsi="Calibri" w:cs="Times New Roman"/>
          <w:lang w:val="en" w:eastAsia="en-GB"/>
        </w:rPr>
        <w:t xml:space="preserve">– </w:t>
      </w:r>
      <w:r w:rsidRPr="007440C5">
        <w:rPr>
          <w:rFonts w:ascii="Calibri" w:eastAsia="Times New Roman" w:hAnsi="Calibri" w:cs="Times New Roman"/>
          <w:lang w:val="en" w:eastAsia="en-GB"/>
        </w:rPr>
        <w:t>more than 20,000 fewer than the 588,720 in 2010</w:t>
      </w:r>
      <w:r w:rsidR="00642792">
        <w:rPr>
          <w:rFonts w:ascii="Calibri" w:eastAsia="Times New Roman" w:hAnsi="Calibri" w:cs="Times New Roman"/>
          <w:lang w:val="en" w:eastAsia="en-GB"/>
        </w:rPr>
        <w:t>/</w:t>
      </w:r>
      <w:r w:rsidRPr="007440C5">
        <w:rPr>
          <w:rFonts w:ascii="Calibri" w:eastAsia="Times New Roman" w:hAnsi="Calibri" w:cs="Times New Roman"/>
          <w:lang w:val="en" w:eastAsia="en-GB"/>
        </w:rPr>
        <w:t>11, which equates to a three per cent fall. The drop was steeper for UK students, whose numbers fell by four per cent overall, down from 375,030 in 2010</w:t>
      </w:r>
      <w:r w:rsidR="00642792">
        <w:rPr>
          <w:rFonts w:ascii="Calibri" w:eastAsia="Times New Roman" w:hAnsi="Calibri" w:cs="Times New Roman"/>
          <w:lang w:val="en" w:eastAsia="en-GB"/>
        </w:rPr>
        <w:t>/</w:t>
      </w:r>
      <w:r w:rsidRPr="007440C5">
        <w:rPr>
          <w:rFonts w:ascii="Calibri" w:eastAsia="Times New Roman" w:hAnsi="Calibri" w:cs="Times New Roman"/>
          <w:lang w:val="en" w:eastAsia="en-GB"/>
        </w:rPr>
        <w:t>11 to 358,800</w:t>
      </w:r>
    </w:p>
    <w:p w:rsidR="007440C5" w:rsidRPr="007440C5" w:rsidRDefault="007440C5" w:rsidP="00BF0DA8">
      <w:pPr>
        <w:numPr>
          <w:ilvl w:val="0"/>
          <w:numId w:val="12"/>
        </w:numPr>
        <w:spacing w:before="120" w:after="0"/>
        <w:ind w:left="993" w:hanging="273"/>
        <w:rPr>
          <w:rFonts w:ascii="Calibri" w:eastAsia="Times New Roman" w:hAnsi="Calibri" w:cs="Arial"/>
          <w:lang w:eastAsia="en-GB"/>
        </w:rPr>
      </w:pPr>
      <w:r w:rsidRPr="007440C5">
        <w:rPr>
          <w:rFonts w:ascii="Calibri" w:eastAsia="Times New Roman" w:hAnsi="Calibri" w:cs="Arial"/>
          <w:lang w:val="en-US" w:eastAsia="en-GB"/>
        </w:rPr>
        <w:t>There are s</w:t>
      </w:r>
      <w:proofErr w:type="spellStart"/>
      <w:r w:rsidRPr="007440C5">
        <w:rPr>
          <w:rFonts w:ascii="Calibri" w:eastAsia="Times New Roman" w:hAnsi="Calibri" w:cs="Arial"/>
          <w:lang w:eastAsia="en-GB"/>
        </w:rPr>
        <w:t>trong</w:t>
      </w:r>
      <w:proofErr w:type="spellEnd"/>
      <w:r w:rsidRPr="007440C5">
        <w:rPr>
          <w:rFonts w:ascii="Calibri" w:eastAsia="Times New Roman" w:hAnsi="Calibri" w:cs="Arial"/>
          <w:lang w:eastAsia="en-GB"/>
        </w:rPr>
        <w:t xml:space="preserve"> indicators of a decade of lost growth, in which the family budgets of aspirational socio-economic groups are squeezed at the same time as the repository of professional jobs in the economy shrinks, making the returns on a high level of investment for a degree education less clear and less certain for many consumers</w:t>
      </w:r>
      <w:r w:rsidRPr="007440C5">
        <w:rPr>
          <w:rFonts w:ascii="Calibri" w:eastAsia="Calibri" w:hAnsi="Calibri" w:cs="Arial"/>
          <w:vertAlign w:val="superscript"/>
          <w:lang w:eastAsia="en-GB"/>
        </w:rPr>
        <w:footnoteReference w:id="17"/>
      </w:r>
      <w:r w:rsidRPr="007440C5">
        <w:rPr>
          <w:rFonts w:ascii="Calibri" w:eastAsia="Times New Roman" w:hAnsi="Calibri" w:cs="Arial"/>
          <w:lang w:eastAsia="en-GB"/>
        </w:rPr>
        <w:t xml:space="preserve"> </w:t>
      </w:r>
    </w:p>
    <w:p w:rsidR="007440C5" w:rsidRPr="007440C5" w:rsidRDefault="007440C5" w:rsidP="00BF0DA8">
      <w:pPr>
        <w:numPr>
          <w:ilvl w:val="0"/>
          <w:numId w:val="12"/>
        </w:numPr>
        <w:spacing w:before="120" w:after="0"/>
        <w:ind w:left="993" w:hanging="273"/>
        <w:rPr>
          <w:rFonts w:ascii="Calibri" w:eastAsia="Times New Roman" w:hAnsi="Calibri" w:cs="Arial"/>
          <w:sz w:val="20"/>
          <w:szCs w:val="20"/>
          <w:lang w:eastAsia="en-GB"/>
        </w:rPr>
      </w:pPr>
      <w:r w:rsidRPr="007440C5">
        <w:rPr>
          <w:rFonts w:ascii="Calibri" w:eastAsia="Times New Roman" w:hAnsi="Calibri" w:cs="Arial"/>
          <w:lang w:eastAsia="en-GB"/>
        </w:rPr>
        <w:t>As global competition intensifies, there is a prospect of further decline in international student intakes following the drop experienced in 2012/13 from 311,800 to 307,205. Within this figure, there is particular concern about the recruiting grounds of India and Pakistan and the international postgraduate and EU undergraduate sub-markets. This is widely being ascribed to perceptions of hostile visa and immigration policy and, for EU intakes, to fee levels</w:t>
      </w:r>
    </w:p>
    <w:p w:rsidR="007440C5" w:rsidRPr="007440C5" w:rsidRDefault="007440C5" w:rsidP="00BF0DA8">
      <w:pPr>
        <w:numPr>
          <w:ilvl w:val="0"/>
          <w:numId w:val="12"/>
        </w:numPr>
        <w:spacing w:before="120" w:after="0"/>
        <w:ind w:left="993" w:hanging="273"/>
        <w:rPr>
          <w:rFonts w:ascii="Calibri" w:eastAsia="Times New Roman" w:hAnsi="Calibri" w:cs="Arial"/>
          <w:sz w:val="20"/>
          <w:szCs w:val="20"/>
          <w:lang w:eastAsia="en-GB"/>
        </w:rPr>
      </w:pPr>
      <w:r w:rsidRPr="007440C5">
        <w:rPr>
          <w:rFonts w:ascii="Calibri" w:eastAsia="Times New Roman" w:hAnsi="Calibri" w:cs="Arial"/>
          <w:lang w:eastAsia="en-GB"/>
        </w:rPr>
        <w:t>The rapid rise of mass open online courses (so-called MOOCS) may, in time, threaten traditional notions of a ‘university’ and disrupt demand for provision based on attendance in person.</w:t>
      </w:r>
    </w:p>
    <w:p w:rsidR="007440C5" w:rsidRPr="007440C5" w:rsidRDefault="007440C5" w:rsidP="007440C5">
      <w:pPr>
        <w:spacing w:before="120" w:after="0"/>
        <w:ind w:left="720"/>
      </w:pPr>
      <w:r w:rsidRPr="007440C5">
        <w:t>The reality is that some of these factors continue to be material and some do not: further funding cuts remain a strong possibility; postgraduate and international student sub-markets are still a concern; and the impact of MOOCs will not become clear for some time.  What is clear, however, is the surprising resilience of demand among home applicants for full-time undergraduate courses. In spite of recession, there is a strong and growing appetite among young people to enter higher education. This is largely driven by poor career/training alternatives and by a paradigm shift in life/study expectations and horizons for many young people, allied to a growing acceptance that higher education entails substantial financial investment by the consumer and a significant level of indebtedness.</w:t>
      </w:r>
    </w:p>
    <w:p w:rsidR="007440C5" w:rsidRPr="007440C5" w:rsidRDefault="007440C5" w:rsidP="00BF0DA8">
      <w:pPr>
        <w:spacing w:before="120" w:after="100" w:afterAutospacing="1"/>
        <w:ind w:left="720"/>
      </w:pPr>
      <w:r w:rsidRPr="007440C5">
        <w:t>Sustained market buoyancy for full-time home undergraduates is evidenced by UCAS’s findings from the autumn 2013 recruitment round. The major headline was that 30,700 more people were placed in higher education in the 2013 cycle (up 6.6 per cent and the highest number recorded). This was as a result both of increased applications (3.6 per cent up) and of increased offers and acceptances. The report also identified a significant shortfall in places when applicants were set against the numbers accepted.</w:t>
      </w:r>
      <w:r w:rsidRPr="007440C5">
        <w:rPr>
          <w:vertAlign w:val="superscript"/>
        </w:rPr>
        <w:footnoteReference w:id="18"/>
      </w:r>
      <w:r w:rsidRPr="007440C5">
        <w:t xml:space="preserve">  From the UCAS evidence base, the government concluded that, since the introduction of higher tuition fees in 2012/13, 60,000 who achieved the necessary grades missed out on a place because of an ‘arbitrary cap’ on student numbers. Accordingly, in his 2013 autumn statement, the Chancellor announced the lifting of the cap on student numbers for entry in 2015/16. Additionally, the autumn statement contained further policy changes:</w:t>
      </w:r>
    </w:p>
    <w:p w:rsidR="007440C5" w:rsidRPr="007440C5" w:rsidRDefault="007440C5" w:rsidP="00BF0DA8">
      <w:pPr>
        <w:numPr>
          <w:ilvl w:val="0"/>
          <w:numId w:val="14"/>
        </w:numPr>
        <w:spacing w:after="0"/>
        <w:ind w:left="993" w:hanging="273"/>
      </w:pPr>
      <w:r w:rsidRPr="007440C5">
        <w:t>30,000 additional places to be released in the sector for the 2014/15 round</w:t>
      </w:r>
    </w:p>
    <w:p w:rsidR="007440C5" w:rsidRPr="007440C5" w:rsidRDefault="007440C5" w:rsidP="00BF0DA8">
      <w:pPr>
        <w:numPr>
          <w:ilvl w:val="0"/>
          <w:numId w:val="14"/>
        </w:numPr>
        <w:spacing w:after="0"/>
        <w:ind w:left="993" w:hanging="273"/>
      </w:pPr>
      <w:r w:rsidRPr="007440C5">
        <w:lastRenderedPageBreak/>
        <w:t>For private HE providers, limitations to remain in place for 2014/15 – recruitment to be limited to the numbers taken in 2013/14 although it is worth noting that the level for 2013/14 was significantly higher than anticipated). From 2015/16, private providers will enjoy unfettered recruitment on the same terms as the ‘public sector’</w:t>
      </w:r>
    </w:p>
    <w:p w:rsidR="007440C5" w:rsidRPr="007440C5" w:rsidRDefault="007440C5" w:rsidP="00BF0DA8">
      <w:pPr>
        <w:numPr>
          <w:ilvl w:val="0"/>
          <w:numId w:val="14"/>
        </w:numPr>
        <w:spacing w:after="0"/>
        <w:ind w:left="993" w:hanging="273"/>
      </w:pPr>
      <w:r w:rsidRPr="007440C5">
        <w:t>Expansion to be funded by the sale of the student loan book</w:t>
      </w:r>
    </w:p>
    <w:p w:rsidR="007440C5" w:rsidRPr="007440C5" w:rsidRDefault="007440C5" w:rsidP="00BF0DA8">
      <w:pPr>
        <w:numPr>
          <w:ilvl w:val="0"/>
          <w:numId w:val="14"/>
        </w:numPr>
        <w:spacing w:after="0"/>
        <w:ind w:left="993" w:hanging="273"/>
      </w:pPr>
      <w:r w:rsidRPr="007440C5">
        <w:t>Within the Science, Technology, Engineering and Maths initiative, there will be additional funding of STEM students (£50M) for the sector per academic year from 2015/16. The government calculates the extra cost of student grants and teaching grants as £720M in 2018/19.</w:t>
      </w:r>
    </w:p>
    <w:p w:rsidR="007440C5" w:rsidRPr="007440C5" w:rsidRDefault="007440C5" w:rsidP="00BF0DA8">
      <w:pPr>
        <w:spacing w:before="120" w:after="120"/>
        <w:ind w:firstLine="567"/>
      </w:pPr>
      <w:r w:rsidRPr="007440C5">
        <w:t>Government thinking behind this new set of policy changes is that:</w:t>
      </w:r>
    </w:p>
    <w:p w:rsidR="007440C5" w:rsidRPr="007440C5" w:rsidRDefault="007440C5" w:rsidP="00BF0DA8">
      <w:pPr>
        <w:numPr>
          <w:ilvl w:val="0"/>
          <w:numId w:val="15"/>
        </w:numPr>
        <w:spacing w:before="120" w:after="0"/>
        <w:ind w:left="993" w:hanging="273"/>
        <w:contextualSpacing/>
      </w:pPr>
      <w:proofErr w:type="gramStart"/>
      <w:r w:rsidRPr="007440C5">
        <w:t>growing</w:t>
      </w:r>
      <w:proofErr w:type="gramEnd"/>
      <w:r w:rsidRPr="007440C5">
        <w:t xml:space="preserve"> the sector is essential to ensure the UK economy is economically sustainable and competitive.</w:t>
      </w:r>
    </w:p>
    <w:p w:rsidR="007440C5" w:rsidRPr="007440C5" w:rsidRDefault="007440C5" w:rsidP="00BF0DA8">
      <w:pPr>
        <w:numPr>
          <w:ilvl w:val="0"/>
          <w:numId w:val="15"/>
        </w:numPr>
        <w:spacing w:before="120" w:after="0"/>
        <w:ind w:left="993" w:hanging="273"/>
        <w:contextualSpacing/>
      </w:pPr>
      <w:r w:rsidRPr="007440C5">
        <w:t>retaining a cap would represent a bar to aspiration</w:t>
      </w:r>
    </w:p>
    <w:p w:rsidR="007440C5" w:rsidRPr="007440C5" w:rsidRDefault="007440C5" w:rsidP="00BF0DA8">
      <w:pPr>
        <w:numPr>
          <w:ilvl w:val="0"/>
          <w:numId w:val="15"/>
        </w:numPr>
        <w:spacing w:before="120" w:after="0"/>
        <w:ind w:left="993" w:hanging="273"/>
        <w:contextualSpacing/>
      </w:pPr>
      <w:proofErr w:type="gramStart"/>
      <w:r w:rsidRPr="007440C5">
        <w:t>removing</w:t>
      </w:r>
      <w:proofErr w:type="gramEnd"/>
      <w:r w:rsidRPr="007440C5">
        <w:t xml:space="preserve"> the cap will increase competition in the sector, giving popular HEIs the scope to grow and forcing institutions to focus on quality, the student experience and the value of qualifications for graduate career prospects.</w:t>
      </w:r>
    </w:p>
    <w:p w:rsidR="007440C5" w:rsidRPr="007440C5" w:rsidRDefault="007440C5" w:rsidP="007440C5">
      <w:pPr>
        <w:spacing w:before="120" w:after="0"/>
        <w:ind w:left="720"/>
      </w:pPr>
      <w:r w:rsidRPr="007440C5">
        <w:t>For 2014/15 HEFCE increased the upper margin of tolerance on student number controls from three to six per cent in order to allow institutions to go for growth more confidently with reduced fear of penalty in the event of over-recruitment.</w:t>
      </w:r>
    </w:p>
    <w:p w:rsidR="007440C5" w:rsidRPr="007440C5" w:rsidRDefault="007440C5" w:rsidP="007440C5">
      <w:pPr>
        <w:spacing w:before="120" w:after="0"/>
        <w:ind w:left="720"/>
      </w:pPr>
      <w:r w:rsidRPr="007440C5">
        <w:t>Taken at face value, the UCAS findings and the government’s response in removing the cap strongly suggest a recruiting bonanza for the sector as a whole. Caution is, however, being sounded amongst senior managers and pundits within higher education. There are two aspects to this: unsustainability in funding and strong variation within the market as stratification deepens.</w:t>
      </w:r>
    </w:p>
    <w:p w:rsidR="007440C5" w:rsidRPr="007440C5" w:rsidRDefault="007440C5" w:rsidP="007440C5">
      <w:pPr>
        <w:spacing w:before="120" w:after="0"/>
        <w:ind w:left="720"/>
      </w:pPr>
      <w:r w:rsidRPr="007440C5">
        <w:t>There is broad-based scepticism that the expansion is affordable. The Institute for Fiscal Studies concludes from its analysis that the approach is not viable in the medium to long term</w:t>
      </w:r>
      <w:r w:rsidRPr="007440C5">
        <w:rPr>
          <w:vertAlign w:val="superscript"/>
        </w:rPr>
        <w:footnoteReference w:id="19"/>
      </w:r>
      <w:r w:rsidRPr="007440C5">
        <w:t xml:space="preserve">. Some parts of the sector have expressed concerns about the effects of laissez-faire on the quality of higher education. The Russell Group in particular remains unpersuaded by the Secretary of State’s assurances of future state intervention if quality suffers. They have also asked for the additional STEM funding to be targeted at existing providers rather than it being used to develop new provision; and for reductions in BIS funding NOT to result in reductions in university research funding. As a group, therefore, they are holding to their existing planning projections on student numbers (although some opportunistic recruitment of higher-graded applicants is likely to go on and this may result in marginal growth in some, but substantial expansion in those that deviate from the line). </w:t>
      </w:r>
    </w:p>
    <w:p w:rsidR="007440C5" w:rsidRPr="007440C5" w:rsidRDefault="007440C5" w:rsidP="007440C5">
      <w:pPr>
        <w:spacing w:before="120" w:after="0"/>
        <w:ind w:left="720"/>
      </w:pPr>
      <w:r w:rsidRPr="007440C5">
        <w:t xml:space="preserve">There is divided opinion about the likely effects of the cap removal on the size and shape of the sector. HEPI leads the sceptical view, which reads the move as part ideological, part electioneering and part experiment in full </w:t>
      </w:r>
      <w:proofErr w:type="spellStart"/>
      <w:r w:rsidRPr="007440C5">
        <w:t>marketisation</w:t>
      </w:r>
      <w:proofErr w:type="spellEnd"/>
      <w:r w:rsidRPr="007440C5">
        <w:t>, and tends strongly to the position that, irrespective of the colour of the next government in 2015, the lid will close again from as early as 2016/17.</w:t>
      </w:r>
      <w:r w:rsidRPr="007440C5">
        <w:rPr>
          <w:vertAlign w:val="superscript"/>
        </w:rPr>
        <w:footnoteReference w:id="20"/>
      </w:r>
      <w:r w:rsidRPr="007440C5">
        <w:t xml:space="preserve"> </w:t>
      </w:r>
    </w:p>
    <w:p w:rsidR="007440C5" w:rsidRPr="007440C5" w:rsidRDefault="007440C5" w:rsidP="007440C5">
      <w:pPr>
        <w:spacing w:before="120" w:after="0"/>
        <w:ind w:left="720"/>
      </w:pPr>
      <w:r w:rsidRPr="007440C5">
        <w:lastRenderedPageBreak/>
        <w:t>There will, in any case, be a ‘soft cap’ – somewhere in Whitehall there will be a budgetary bottom line. Just how the government plans to stick within this is unknown. However, it may have calculated that the places taken up in 2014/15 and 2015/16 will not reach the new levels it has set on the basis of unmet demand indicated in the UCAS end-of-cycle report. If this is the case – a</w:t>
      </w:r>
      <w:r w:rsidR="00BF0DA8">
        <w:t>s seems likely – the government/</w:t>
      </w:r>
      <w:r w:rsidRPr="007440C5">
        <w:t>HEFCE will be spared the logistical, political and ideological problem of having to make state intervention. The view that the government’s quantification of unmet demand is too high has been expressed amongst vice-chancellors and commentators. As the position for the autumn 2014 recruitment round settles, it is becoming clear at the time of writing that students placed through UCAS will top 500,000. By how much exactly is not yet clear, but it is likely to represent a three to five per cent increase on last year – in numbers, that translates roughly as between 15,000 and 25,000 extra, comfortably within the government’s growth parameters.</w:t>
      </w:r>
    </w:p>
    <w:p w:rsidR="007440C5" w:rsidRPr="007440C5" w:rsidRDefault="007440C5" w:rsidP="007440C5">
      <w:pPr>
        <w:spacing w:before="120" w:after="0"/>
        <w:ind w:left="720"/>
      </w:pPr>
      <w:r w:rsidRPr="007440C5">
        <w:t>A comparison of institutional fortunes between 2011 and 2013</w:t>
      </w:r>
      <w:r w:rsidRPr="007440C5">
        <w:rPr>
          <w:vertAlign w:val="superscript"/>
        </w:rPr>
        <w:footnoteReference w:id="21"/>
      </w:r>
      <w:r w:rsidRPr="007440C5">
        <w:t xml:space="preserve"> shows some stark differences already apparent after only two years of the new regime: the top five winners posted increases in UCAS-processed student numbers above 35 per cent; the bottom five suffered between 22 and 38 per cent declines. In the main, where gains were made, these tended to be by pre-1992 institutions and where losses were incurred, these tended to be by post-92 institutions, although there were exceptions to these patterns. (Neither of the Bradford institutions is in either the top or bottom group.</w:t>
      </w:r>
      <w:r w:rsidR="00642792">
        <w:t>)</w:t>
      </w:r>
    </w:p>
    <w:p w:rsidR="007440C5" w:rsidRPr="007440C5" w:rsidRDefault="007440C5" w:rsidP="007440C5">
      <w:pPr>
        <w:spacing w:before="120" w:after="0"/>
        <w:ind w:left="720"/>
      </w:pPr>
      <w:r w:rsidRPr="007440C5">
        <w:t xml:space="preserve">In the even more </w:t>
      </w:r>
      <w:proofErr w:type="spellStart"/>
      <w:r w:rsidRPr="007440C5">
        <w:t>marketised</w:t>
      </w:r>
      <w:proofErr w:type="spellEnd"/>
      <w:r w:rsidRPr="007440C5">
        <w:t xml:space="preserve"> world, the emergence of winners and losers will be more pronounced still. The likely losers will be further education colleges and those higher education institutions that rely on picking up students from ‘better’ universities that have reached their limit. Student numbers at Russell Group institutions are unlikely to be exposed to any threat of stolen market share from elsewhere. But providers that have currently small amounts of student number control and so are reliant on growth from the unrestricted high grade market (i</w:t>
      </w:r>
      <w:r w:rsidR="00642792">
        <w:t>.</w:t>
      </w:r>
      <w:r w:rsidRPr="007440C5">
        <w:t>e</w:t>
      </w:r>
      <w:r w:rsidR="00642792">
        <w:t>.</w:t>
      </w:r>
      <w:r w:rsidRPr="007440C5">
        <w:t xml:space="preserve"> institutions positioned just below the Russell Group) will have more freedom to set their growth targets and consequently may benefit from this change</w:t>
      </w:r>
      <w:r w:rsidR="008808F0">
        <w:t>.</w:t>
      </w:r>
    </w:p>
    <w:p w:rsidR="007440C5" w:rsidRPr="007440C5" w:rsidRDefault="007440C5" w:rsidP="007440C5">
      <w:pPr>
        <w:spacing w:before="120" w:after="0"/>
        <w:ind w:left="720"/>
      </w:pPr>
      <w:r w:rsidRPr="007440C5">
        <w:t>The lifting of the cap is less about meeting unmet demand and more about shaking up the sector and forcing HEIs to take a radical look at their approach in order to avoid merger or closure (i</w:t>
      </w:r>
      <w:r w:rsidR="00642792">
        <w:t>.</w:t>
      </w:r>
      <w:r w:rsidRPr="007440C5">
        <w:t>e</w:t>
      </w:r>
      <w:r w:rsidR="00642792">
        <w:t>.</w:t>
      </w:r>
      <w:r w:rsidRPr="007440C5">
        <w:t xml:space="preserve"> to rid the sector of any so-called zombie universities in the medium to long term).</w:t>
      </w:r>
    </w:p>
    <w:p w:rsidR="007440C5" w:rsidRPr="007440C5" w:rsidRDefault="007440C5" w:rsidP="007440C5">
      <w:pPr>
        <w:spacing w:before="120" w:after="0"/>
        <w:ind w:left="720"/>
      </w:pPr>
      <w:r w:rsidRPr="007440C5">
        <w:t>Unqualified optimism about growth across the board is therefore misplaced. Prospective student accommodation investors and providers need to look behind the headlines and make careful appraisal of the prospects within any specific locality that they are interested in.</w:t>
      </w:r>
    </w:p>
    <w:p w:rsidR="007440C5" w:rsidRPr="007440C5" w:rsidRDefault="007440C5" w:rsidP="007440C5">
      <w:pPr>
        <w:spacing w:before="120" w:after="0"/>
        <w:rPr>
          <w:b/>
        </w:rPr>
      </w:pPr>
      <w:r w:rsidRPr="007440C5">
        <w:rPr>
          <w:b/>
        </w:rPr>
        <w:t>3.2</w:t>
      </w:r>
      <w:r w:rsidRPr="007440C5">
        <w:rPr>
          <w:b/>
        </w:rPr>
        <w:tab/>
        <w:t>Bradford</w:t>
      </w:r>
    </w:p>
    <w:p w:rsidR="007440C5" w:rsidRPr="008808F0" w:rsidRDefault="007440C5" w:rsidP="007440C5">
      <w:pPr>
        <w:spacing w:before="120" w:after="0"/>
        <w:rPr>
          <w:i/>
        </w:rPr>
      </w:pPr>
      <w:r w:rsidRPr="005D2F4D">
        <w:t>3.2.1</w:t>
      </w:r>
      <w:r w:rsidRPr="008808F0">
        <w:rPr>
          <w:i/>
        </w:rPr>
        <w:tab/>
        <w:t>The University of Bradford</w:t>
      </w:r>
    </w:p>
    <w:p w:rsidR="007440C5" w:rsidRPr="007440C5" w:rsidRDefault="007440C5" w:rsidP="007440C5">
      <w:pPr>
        <w:spacing w:before="120" w:after="0"/>
        <w:ind w:left="720"/>
      </w:pPr>
      <w:r w:rsidRPr="007440C5">
        <w:t xml:space="preserve">National figures for full-time student intakes for 2013/14 are not yet available from the Higher Education Statistics Agency. But on the basis of comparison with the UCAS data on UK-wide full-time acceptances as shown in Graph 2 in the previous section, it is immediately clear from Graph 2 that for 2013/14 the University did not share in the sector bounce-back from the national low point in 2012/13, and suffered a further, although much reduced, contraction. </w:t>
      </w:r>
    </w:p>
    <w:p w:rsidR="007440C5" w:rsidRPr="007440C5" w:rsidRDefault="007440C5" w:rsidP="007440C5">
      <w:pPr>
        <w:spacing w:before="120" w:after="0"/>
        <w:ind w:left="720"/>
      </w:pPr>
      <w:r w:rsidRPr="007440C5">
        <w:t xml:space="preserve">Whereas nationally between 2009/10 and 2013/14 there was a 2.83 per cent increase in full-time acceptances, at the University of Bradford for the same period student numbers declined by 22.21 per cent. </w:t>
      </w:r>
    </w:p>
    <w:p w:rsidR="007440C5" w:rsidRPr="007440C5" w:rsidRDefault="007440C5" w:rsidP="007440C5">
      <w:pPr>
        <w:spacing w:before="120" w:after="0"/>
        <w:ind w:left="720"/>
      </w:pPr>
      <w:r w:rsidRPr="007440C5">
        <w:lastRenderedPageBreak/>
        <w:t>Within this overall figure, there was a reduction in numbers for all categories over the period. International (non-EU) students have shown a steady and particularly significant contraction. The size of this deterioration (29.15 per cent) contrasts with national growth of 3.9 per cent over the same period. For the postgraduate segment, the main point of national comparison available (HESA) is with the years 2010/11 and 2011/12 (see section above). Whereas the decline between these years was three per cent for the UK as a whole, it was 13.4 per cent for University of Bradford. For home postgraduates, the University saw a fall of 6.2 per cent compared to a drop of four per cent nationally for these years.</w:t>
      </w:r>
    </w:p>
    <w:p w:rsidR="007440C5" w:rsidRPr="007440C5" w:rsidRDefault="007440C5" w:rsidP="005D2F4D">
      <w:pPr>
        <w:tabs>
          <w:tab w:val="left" w:pos="1701"/>
        </w:tabs>
        <w:spacing w:before="120" w:after="100" w:afterAutospacing="1"/>
        <w:ind w:firstLine="720"/>
        <w:rPr>
          <w:i/>
        </w:rPr>
      </w:pPr>
      <w:r w:rsidRPr="007440C5">
        <w:rPr>
          <w:i/>
        </w:rPr>
        <w:t>Table 16:</w:t>
      </w:r>
      <w:r w:rsidR="005D2F4D">
        <w:rPr>
          <w:i/>
        </w:rPr>
        <w:tab/>
      </w:r>
      <w:r w:rsidRPr="007440C5">
        <w:rPr>
          <w:i/>
        </w:rPr>
        <w:t>University of Bradford: full-time student intakes 2009/10 – 2013/14</w:t>
      </w:r>
    </w:p>
    <w:tbl>
      <w:tblPr>
        <w:tblStyle w:val="TableGrid"/>
        <w:tblW w:w="0" w:type="auto"/>
        <w:tblInd w:w="753" w:type="dxa"/>
        <w:tblLook w:val="04A0" w:firstRow="1" w:lastRow="0" w:firstColumn="1" w:lastColumn="0" w:noHBand="0" w:noVBand="1"/>
      </w:tblPr>
      <w:tblGrid>
        <w:gridCol w:w="1560"/>
        <w:gridCol w:w="1134"/>
        <w:gridCol w:w="1134"/>
        <w:gridCol w:w="1134"/>
        <w:gridCol w:w="1134"/>
        <w:gridCol w:w="1275"/>
      </w:tblGrid>
      <w:tr w:rsidR="007440C5" w:rsidRPr="00565D91" w:rsidTr="00BB288F">
        <w:trPr>
          <w:trHeight w:val="300"/>
        </w:trPr>
        <w:tc>
          <w:tcPr>
            <w:tcW w:w="1560" w:type="dxa"/>
            <w:noWrap/>
            <w:hideMark/>
          </w:tcPr>
          <w:p w:rsidR="007440C5" w:rsidRPr="00565D91" w:rsidRDefault="007440C5" w:rsidP="007440C5">
            <w:pPr>
              <w:spacing w:before="120"/>
              <w:rPr>
                <w:sz w:val="20"/>
                <w:szCs w:val="20"/>
              </w:rPr>
            </w:pPr>
          </w:p>
        </w:tc>
        <w:tc>
          <w:tcPr>
            <w:tcW w:w="1134" w:type="dxa"/>
            <w:noWrap/>
            <w:hideMark/>
          </w:tcPr>
          <w:p w:rsidR="007440C5" w:rsidRPr="00565D91" w:rsidRDefault="007440C5" w:rsidP="007440C5">
            <w:pPr>
              <w:spacing w:before="120"/>
              <w:rPr>
                <w:b/>
                <w:bCs/>
                <w:sz w:val="20"/>
                <w:szCs w:val="20"/>
              </w:rPr>
            </w:pPr>
            <w:r w:rsidRPr="00565D91">
              <w:rPr>
                <w:b/>
                <w:bCs/>
                <w:sz w:val="20"/>
                <w:szCs w:val="20"/>
              </w:rPr>
              <w:t>2009/10</w:t>
            </w:r>
          </w:p>
        </w:tc>
        <w:tc>
          <w:tcPr>
            <w:tcW w:w="1134" w:type="dxa"/>
            <w:noWrap/>
            <w:hideMark/>
          </w:tcPr>
          <w:p w:rsidR="007440C5" w:rsidRPr="00565D91" w:rsidRDefault="007440C5" w:rsidP="007440C5">
            <w:pPr>
              <w:spacing w:before="120"/>
              <w:rPr>
                <w:b/>
                <w:bCs/>
                <w:sz w:val="20"/>
                <w:szCs w:val="20"/>
              </w:rPr>
            </w:pPr>
            <w:r w:rsidRPr="00565D91">
              <w:rPr>
                <w:b/>
                <w:bCs/>
                <w:sz w:val="20"/>
                <w:szCs w:val="20"/>
              </w:rPr>
              <w:t>2010/11</w:t>
            </w:r>
          </w:p>
        </w:tc>
        <w:tc>
          <w:tcPr>
            <w:tcW w:w="1134" w:type="dxa"/>
            <w:noWrap/>
            <w:hideMark/>
          </w:tcPr>
          <w:p w:rsidR="007440C5" w:rsidRPr="00565D91" w:rsidRDefault="007440C5" w:rsidP="007440C5">
            <w:pPr>
              <w:spacing w:before="120"/>
              <w:rPr>
                <w:b/>
                <w:bCs/>
                <w:sz w:val="20"/>
                <w:szCs w:val="20"/>
              </w:rPr>
            </w:pPr>
            <w:r w:rsidRPr="00565D91">
              <w:rPr>
                <w:b/>
                <w:bCs/>
                <w:sz w:val="20"/>
                <w:szCs w:val="20"/>
              </w:rPr>
              <w:t>2011/12</w:t>
            </w:r>
          </w:p>
        </w:tc>
        <w:tc>
          <w:tcPr>
            <w:tcW w:w="1134" w:type="dxa"/>
            <w:noWrap/>
            <w:hideMark/>
          </w:tcPr>
          <w:p w:rsidR="007440C5" w:rsidRPr="00565D91" w:rsidRDefault="007440C5" w:rsidP="007440C5">
            <w:pPr>
              <w:spacing w:before="120"/>
              <w:rPr>
                <w:b/>
                <w:bCs/>
                <w:sz w:val="20"/>
                <w:szCs w:val="20"/>
              </w:rPr>
            </w:pPr>
            <w:r w:rsidRPr="00565D91">
              <w:rPr>
                <w:b/>
                <w:bCs/>
                <w:sz w:val="20"/>
                <w:szCs w:val="20"/>
              </w:rPr>
              <w:t>2012/13</w:t>
            </w:r>
          </w:p>
        </w:tc>
        <w:tc>
          <w:tcPr>
            <w:tcW w:w="1275" w:type="dxa"/>
            <w:noWrap/>
            <w:hideMark/>
          </w:tcPr>
          <w:p w:rsidR="007440C5" w:rsidRPr="00565D91" w:rsidRDefault="007440C5" w:rsidP="007440C5">
            <w:pPr>
              <w:spacing w:before="120"/>
              <w:rPr>
                <w:b/>
                <w:bCs/>
                <w:sz w:val="20"/>
                <w:szCs w:val="20"/>
              </w:rPr>
            </w:pPr>
            <w:r w:rsidRPr="00565D91">
              <w:rPr>
                <w:b/>
                <w:bCs/>
                <w:sz w:val="20"/>
                <w:szCs w:val="20"/>
              </w:rPr>
              <w:t>2013/14</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Home UG</w:t>
            </w:r>
          </w:p>
        </w:tc>
        <w:tc>
          <w:tcPr>
            <w:tcW w:w="1134" w:type="dxa"/>
            <w:noWrap/>
            <w:hideMark/>
          </w:tcPr>
          <w:p w:rsidR="007440C5" w:rsidRPr="00565D91" w:rsidRDefault="007440C5" w:rsidP="007440C5">
            <w:pPr>
              <w:spacing w:before="120"/>
              <w:rPr>
                <w:sz w:val="20"/>
                <w:szCs w:val="20"/>
              </w:rPr>
            </w:pPr>
            <w:r w:rsidRPr="00565D91">
              <w:rPr>
                <w:sz w:val="20"/>
                <w:szCs w:val="20"/>
              </w:rPr>
              <w:t>2,829</w:t>
            </w:r>
          </w:p>
        </w:tc>
        <w:tc>
          <w:tcPr>
            <w:tcW w:w="1134" w:type="dxa"/>
            <w:noWrap/>
            <w:hideMark/>
          </w:tcPr>
          <w:p w:rsidR="007440C5" w:rsidRPr="00565D91" w:rsidRDefault="007440C5" w:rsidP="007440C5">
            <w:pPr>
              <w:spacing w:before="120"/>
              <w:rPr>
                <w:sz w:val="20"/>
                <w:szCs w:val="20"/>
              </w:rPr>
            </w:pPr>
            <w:r w:rsidRPr="00565D91">
              <w:rPr>
                <w:sz w:val="20"/>
                <w:szCs w:val="20"/>
              </w:rPr>
              <w:t>2,599</w:t>
            </w:r>
          </w:p>
        </w:tc>
        <w:tc>
          <w:tcPr>
            <w:tcW w:w="1134" w:type="dxa"/>
            <w:noWrap/>
            <w:hideMark/>
          </w:tcPr>
          <w:p w:rsidR="007440C5" w:rsidRPr="00565D91" w:rsidRDefault="007440C5" w:rsidP="007440C5">
            <w:pPr>
              <w:spacing w:before="120"/>
              <w:rPr>
                <w:sz w:val="20"/>
                <w:szCs w:val="20"/>
              </w:rPr>
            </w:pPr>
            <w:r w:rsidRPr="00565D91">
              <w:rPr>
                <w:sz w:val="20"/>
                <w:szCs w:val="20"/>
              </w:rPr>
              <w:t>2,691</w:t>
            </w:r>
          </w:p>
        </w:tc>
        <w:tc>
          <w:tcPr>
            <w:tcW w:w="1134" w:type="dxa"/>
            <w:noWrap/>
            <w:hideMark/>
          </w:tcPr>
          <w:p w:rsidR="007440C5" w:rsidRPr="00565D91" w:rsidRDefault="007440C5" w:rsidP="007440C5">
            <w:pPr>
              <w:spacing w:before="120"/>
              <w:rPr>
                <w:sz w:val="20"/>
                <w:szCs w:val="20"/>
              </w:rPr>
            </w:pPr>
            <w:r w:rsidRPr="00565D91">
              <w:rPr>
                <w:sz w:val="20"/>
                <w:szCs w:val="20"/>
              </w:rPr>
              <w:t>2,251</w:t>
            </w:r>
          </w:p>
        </w:tc>
        <w:tc>
          <w:tcPr>
            <w:tcW w:w="1275" w:type="dxa"/>
            <w:noWrap/>
            <w:hideMark/>
          </w:tcPr>
          <w:p w:rsidR="007440C5" w:rsidRPr="00565D91" w:rsidRDefault="007440C5" w:rsidP="007440C5">
            <w:pPr>
              <w:spacing w:before="120"/>
              <w:rPr>
                <w:sz w:val="20"/>
                <w:szCs w:val="20"/>
              </w:rPr>
            </w:pPr>
            <w:r w:rsidRPr="00565D91">
              <w:rPr>
                <w:sz w:val="20"/>
                <w:szCs w:val="20"/>
              </w:rPr>
              <w:t>2,351</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Non-EU UG</w:t>
            </w:r>
          </w:p>
        </w:tc>
        <w:tc>
          <w:tcPr>
            <w:tcW w:w="1134" w:type="dxa"/>
            <w:noWrap/>
            <w:hideMark/>
          </w:tcPr>
          <w:p w:rsidR="007440C5" w:rsidRPr="00565D91" w:rsidRDefault="007440C5" w:rsidP="007440C5">
            <w:pPr>
              <w:spacing w:before="120"/>
              <w:rPr>
                <w:sz w:val="20"/>
                <w:szCs w:val="20"/>
              </w:rPr>
            </w:pPr>
            <w:r w:rsidRPr="00565D91">
              <w:rPr>
                <w:sz w:val="20"/>
                <w:szCs w:val="20"/>
              </w:rPr>
              <w:t>396</w:t>
            </w:r>
          </w:p>
        </w:tc>
        <w:tc>
          <w:tcPr>
            <w:tcW w:w="1134" w:type="dxa"/>
            <w:noWrap/>
            <w:hideMark/>
          </w:tcPr>
          <w:p w:rsidR="007440C5" w:rsidRPr="00565D91" w:rsidRDefault="007440C5" w:rsidP="007440C5">
            <w:pPr>
              <w:spacing w:before="120"/>
              <w:rPr>
                <w:sz w:val="20"/>
                <w:szCs w:val="20"/>
              </w:rPr>
            </w:pPr>
            <w:r w:rsidRPr="00565D91">
              <w:rPr>
                <w:sz w:val="20"/>
                <w:szCs w:val="20"/>
              </w:rPr>
              <w:t>379</w:t>
            </w:r>
          </w:p>
        </w:tc>
        <w:tc>
          <w:tcPr>
            <w:tcW w:w="1134" w:type="dxa"/>
            <w:noWrap/>
            <w:hideMark/>
          </w:tcPr>
          <w:p w:rsidR="007440C5" w:rsidRPr="00565D91" w:rsidRDefault="007440C5" w:rsidP="007440C5">
            <w:pPr>
              <w:spacing w:before="120"/>
              <w:rPr>
                <w:sz w:val="20"/>
                <w:szCs w:val="20"/>
              </w:rPr>
            </w:pPr>
            <w:r w:rsidRPr="00565D91">
              <w:rPr>
                <w:sz w:val="20"/>
                <w:szCs w:val="20"/>
              </w:rPr>
              <w:t>342</w:t>
            </w:r>
          </w:p>
        </w:tc>
        <w:tc>
          <w:tcPr>
            <w:tcW w:w="1134" w:type="dxa"/>
            <w:noWrap/>
            <w:hideMark/>
          </w:tcPr>
          <w:p w:rsidR="007440C5" w:rsidRPr="00565D91" w:rsidRDefault="007440C5" w:rsidP="007440C5">
            <w:pPr>
              <w:spacing w:before="120"/>
              <w:rPr>
                <w:sz w:val="20"/>
                <w:szCs w:val="20"/>
              </w:rPr>
            </w:pPr>
            <w:r w:rsidRPr="00565D91">
              <w:rPr>
                <w:sz w:val="20"/>
                <w:szCs w:val="20"/>
              </w:rPr>
              <w:t>348</w:t>
            </w:r>
          </w:p>
        </w:tc>
        <w:tc>
          <w:tcPr>
            <w:tcW w:w="1275" w:type="dxa"/>
            <w:noWrap/>
            <w:hideMark/>
          </w:tcPr>
          <w:p w:rsidR="007440C5" w:rsidRPr="00565D91" w:rsidRDefault="007440C5" w:rsidP="007440C5">
            <w:pPr>
              <w:spacing w:before="120"/>
              <w:rPr>
                <w:sz w:val="20"/>
                <w:szCs w:val="20"/>
              </w:rPr>
            </w:pPr>
            <w:r w:rsidRPr="00565D91">
              <w:rPr>
                <w:sz w:val="20"/>
                <w:szCs w:val="20"/>
              </w:rPr>
              <w:t>357</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Other EU UG</w:t>
            </w:r>
          </w:p>
        </w:tc>
        <w:tc>
          <w:tcPr>
            <w:tcW w:w="1134" w:type="dxa"/>
            <w:noWrap/>
            <w:hideMark/>
          </w:tcPr>
          <w:p w:rsidR="007440C5" w:rsidRPr="00565D91" w:rsidRDefault="007440C5" w:rsidP="007440C5">
            <w:pPr>
              <w:spacing w:before="120"/>
              <w:rPr>
                <w:sz w:val="20"/>
                <w:szCs w:val="20"/>
              </w:rPr>
            </w:pPr>
            <w:r w:rsidRPr="00565D91">
              <w:rPr>
                <w:sz w:val="20"/>
                <w:szCs w:val="20"/>
              </w:rPr>
              <w:t>231</w:t>
            </w:r>
          </w:p>
        </w:tc>
        <w:tc>
          <w:tcPr>
            <w:tcW w:w="1134" w:type="dxa"/>
            <w:noWrap/>
            <w:hideMark/>
          </w:tcPr>
          <w:p w:rsidR="007440C5" w:rsidRPr="00565D91" w:rsidRDefault="007440C5" w:rsidP="007440C5">
            <w:pPr>
              <w:spacing w:before="120"/>
              <w:rPr>
                <w:sz w:val="20"/>
                <w:szCs w:val="20"/>
              </w:rPr>
            </w:pPr>
            <w:r w:rsidRPr="00565D91">
              <w:rPr>
                <w:sz w:val="20"/>
                <w:szCs w:val="20"/>
              </w:rPr>
              <w:t>253</w:t>
            </w:r>
          </w:p>
        </w:tc>
        <w:tc>
          <w:tcPr>
            <w:tcW w:w="1134" w:type="dxa"/>
            <w:noWrap/>
            <w:hideMark/>
          </w:tcPr>
          <w:p w:rsidR="007440C5" w:rsidRPr="00565D91" w:rsidRDefault="007440C5" w:rsidP="007440C5">
            <w:pPr>
              <w:spacing w:before="120"/>
              <w:rPr>
                <w:sz w:val="20"/>
                <w:szCs w:val="20"/>
              </w:rPr>
            </w:pPr>
            <w:r w:rsidRPr="00565D91">
              <w:rPr>
                <w:sz w:val="20"/>
                <w:szCs w:val="20"/>
              </w:rPr>
              <w:t>340</w:t>
            </w:r>
          </w:p>
        </w:tc>
        <w:tc>
          <w:tcPr>
            <w:tcW w:w="1134" w:type="dxa"/>
            <w:noWrap/>
            <w:hideMark/>
          </w:tcPr>
          <w:p w:rsidR="007440C5" w:rsidRPr="00565D91" w:rsidRDefault="007440C5" w:rsidP="007440C5">
            <w:pPr>
              <w:spacing w:before="120"/>
              <w:rPr>
                <w:sz w:val="20"/>
                <w:szCs w:val="20"/>
              </w:rPr>
            </w:pPr>
            <w:r w:rsidRPr="00565D91">
              <w:rPr>
                <w:sz w:val="20"/>
                <w:szCs w:val="20"/>
              </w:rPr>
              <w:t>172</w:t>
            </w:r>
          </w:p>
        </w:tc>
        <w:tc>
          <w:tcPr>
            <w:tcW w:w="1275" w:type="dxa"/>
            <w:noWrap/>
            <w:hideMark/>
          </w:tcPr>
          <w:p w:rsidR="007440C5" w:rsidRPr="00565D91" w:rsidRDefault="007440C5" w:rsidP="007440C5">
            <w:pPr>
              <w:spacing w:before="120"/>
              <w:rPr>
                <w:sz w:val="20"/>
                <w:szCs w:val="20"/>
              </w:rPr>
            </w:pPr>
            <w:r w:rsidRPr="00565D91">
              <w:rPr>
                <w:sz w:val="20"/>
                <w:szCs w:val="20"/>
              </w:rPr>
              <w:t>154</w:t>
            </w:r>
          </w:p>
        </w:tc>
      </w:tr>
      <w:tr w:rsidR="007440C5" w:rsidRPr="00565D91" w:rsidTr="00BB288F">
        <w:trPr>
          <w:trHeight w:val="300"/>
        </w:trPr>
        <w:tc>
          <w:tcPr>
            <w:tcW w:w="1560" w:type="dxa"/>
            <w:noWrap/>
            <w:hideMark/>
          </w:tcPr>
          <w:p w:rsidR="007440C5" w:rsidRPr="00565D91" w:rsidRDefault="007440C5" w:rsidP="007440C5">
            <w:pPr>
              <w:spacing w:before="120"/>
              <w:rPr>
                <w:b/>
                <w:bCs/>
                <w:sz w:val="20"/>
                <w:szCs w:val="20"/>
              </w:rPr>
            </w:pPr>
            <w:r w:rsidRPr="00565D91">
              <w:rPr>
                <w:b/>
                <w:bCs/>
                <w:sz w:val="20"/>
                <w:szCs w:val="20"/>
              </w:rPr>
              <w:t>UG total</w:t>
            </w:r>
          </w:p>
        </w:tc>
        <w:tc>
          <w:tcPr>
            <w:tcW w:w="1134" w:type="dxa"/>
            <w:noWrap/>
            <w:hideMark/>
          </w:tcPr>
          <w:p w:rsidR="007440C5" w:rsidRPr="00565D91" w:rsidRDefault="007440C5" w:rsidP="007440C5">
            <w:pPr>
              <w:spacing w:before="120"/>
              <w:rPr>
                <w:b/>
                <w:bCs/>
                <w:sz w:val="20"/>
                <w:szCs w:val="20"/>
              </w:rPr>
            </w:pPr>
            <w:r w:rsidRPr="00565D91">
              <w:rPr>
                <w:b/>
                <w:bCs/>
                <w:sz w:val="20"/>
                <w:szCs w:val="20"/>
              </w:rPr>
              <w:t>3,456</w:t>
            </w:r>
          </w:p>
        </w:tc>
        <w:tc>
          <w:tcPr>
            <w:tcW w:w="1134" w:type="dxa"/>
            <w:noWrap/>
            <w:hideMark/>
          </w:tcPr>
          <w:p w:rsidR="007440C5" w:rsidRPr="00565D91" w:rsidRDefault="007440C5" w:rsidP="007440C5">
            <w:pPr>
              <w:spacing w:before="120"/>
              <w:rPr>
                <w:b/>
                <w:bCs/>
                <w:sz w:val="20"/>
                <w:szCs w:val="20"/>
              </w:rPr>
            </w:pPr>
            <w:r w:rsidRPr="00565D91">
              <w:rPr>
                <w:b/>
                <w:bCs/>
                <w:sz w:val="20"/>
                <w:szCs w:val="20"/>
              </w:rPr>
              <w:t>3,231</w:t>
            </w:r>
          </w:p>
        </w:tc>
        <w:tc>
          <w:tcPr>
            <w:tcW w:w="1134" w:type="dxa"/>
            <w:noWrap/>
            <w:hideMark/>
          </w:tcPr>
          <w:p w:rsidR="007440C5" w:rsidRPr="00565D91" w:rsidRDefault="007440C5" w:rsidP="007440C5">
            <w:pPr>
              <w:spacing w:before="120"/>
              <w:rPr>
                <w:b/>
                <w:bCs/>
                <w:sz w:val="20"/>
                <w:szCs w:val="20"/>
              </w:rPr>
            </w:pPr>
            <w:r w:rsidRPr="00565D91">
              <w:rPr>
                <w:b/>
                <w:bCs/>
                <w:sz w:val="20"/>
                <w:szCs w:val="20"/>
              </w:rPr>
              <w:t>3,373</w:t>
            </w:r>
          </w:p>
        </w:tc>
        <w:tc>
          <w:tcPr>
            <w:tcW w:w="1134" w:type="dxa"/>
            <w:noWrap/>
            <w:hideMark/>
          </w:tcPr>
          <w:p w:rsidR="007440C5" w:rsidRPr="00565D91" w:rsidRDefault="007440C5" w:rsidP="007440C5">
            <w:pPr>
              <w:spacing w:before="120"/>
              <w:rPr>
                <w:b/>
                <w:bCs/>
                <w:sz w:val="20"/>
                <w:szCs w:val="20"/>
              </w:rPr>
            </w:pPr>
            <w:r w:rsidRPr="00565D91">
              <w:rPr>
                <w:b/>
                <w:bCs/>
                <w:sz w:val="20"/>
                <w:szCs w:val="20"/>
              </w:rPr>
              <w:t>2,771</w:t>
            </w:r>
          </w:p>
        </w:tc>
        <w:tc>
          <w:tcPr>
            <w:tcW w:w="1275" w:type="dxa"/>
            <w:noWrap/>
            <w:hideMark/>
          </w:tcPr>
          <w:p w:rsidR="007440C5" w:rsidRPr="00565D91" w:rsidRDefault="007440C5" w:rsidP="007440C5">
            <w:pPr>
              <w:spacing w:before="120"/>
              <w:rPr>
                <w:b/>
                <w:bCs/>
                <w:sz w:val="20"/>
                <w:szCs w:val="20"/>
              </w:rPr>
            </w:pPr>
            <w:r w:rsidRPr="00565D91">
              <w:rPr>
                <w:b/>
                <w:bCs/>
                <w:sz w:val="20"/>
                <w:szCs w:val="20"/>
              </w:rPr>
              <w:t>2,862</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Home PG</w:t>
            </w:r>
          </w:p>
        </w:tc>
        <w:tc>
          <w:tcPr>
            <w:tcW w:w="1134" w:type="dxa"/>
            <w:noWrap/>
            <w:hideMark/>
          </w:tcPr>
          <w:p w:rsidR="007440C5" w:rsidRPr="00565D91" w:rsidRDefault="007440C5" w:rsidP="007440C5">
            <w:pPr>
              <w:spacing w:before="120"/>
              <w:rPr>
                <w:sz w:val="20"/>
                <w:szCs w:val="20"/>
              </w:rPr>
            </w:pPr>
            <w:r w:rsidRPr="00565D91">
              <w:rPr>
                <w:sz w:val="20"/>
                <w:szCs w:val="20"/>
              </w:rPr>
              <w:t>189</w:t>
            </w:r>
          </w:p>
        </w:tc>
        <w:tc>
          <w:tcPr>
            <w:tcW w:w="1134" w:type="dxa"/>
            <w:noWrap/>
            <w:hideMark/>
          </w:tcPr>
          <w:p w:rsidR="007440C5" w:rsidRPr="00565D91" w:rsidRDefault="007440C5" w:rsidP="007440C5">
            <w:pPr>
              <w:spacing w:before="120"/>
              <w:rPr>
                <w:sz w:val="20"/>
                <w:szCs w:val="20"/>
              </w:rPr>
            </w:pPr>
            <w:r w:rsidRPr="00565D91">
              <w:rPr>
                <w:sz w:val="20"/>
                <w:szCs w:val="20"/>
              </w:rPr>
              <w:t>162</w:t>
            </w:r>
          </w:p>
        </w:tc>
        <w:tc>
          <w:tcPr>
            <w:tcW w:w="1134" w:type="dxa"/>
            <w:noWrap/>
            <w:hideMark/>
          </w:tcPr>
          <w:p w:rsidR="007440C5" w:rsidRPr="00565D91" w:rsidRDefault="007440C5" w:rsidP="007440C5">
            <w:pPr>
              <w:spacing w:before="120"/>
              <w:rPr>
                <w:sz w:val="20"/>
                <w:szCs w:val="20"/>
              </w:rPr>
            </w:pPr>
            <w:r w:rsidRPr="00565D91">
              <w:rPr>
                <w:sz w:val="20"/>
                <w:szCs w:val="20"/>
              </w:rPr>
              <w:t>152</w:t>
            </w:r>
          </w:p>
        </w:tc>
        <w:tc>
          <w:tcPr>
            <w:tcW w:w="1134" w:type="dxa"/>
            <w:noWrap/>
            <w:hideMark/>
          </w:tcPr>
          <w:p w:rsidR="007440C5" w:rsidRPr="00565D91" w:rsidRDefault="007440C5" w:rsidP="007440C5">
            <w:pPr>
              <w:spacing w:before="120"/>
              <w:rPr>
                <w:sz w:val="20"/>
                <w:szCs w:val="20"/>
              </w:rPr>
            </w:pPr>
            <w:r w:rsidRPr="00565D91">
              <w:rPr>
                <w:sz w:val="20"/>
                <w:szCs w:val="20"/>
              </w:rPr>
              <w:t>144</w:t>
            </w:r>
          </w:p>
        </w:tc>
        <w:tc>
          <w:tcPr>
            <w:tcW w:w="1275" w:type="dxa"/>
            <w:noWrap/>
            <w:hideMark/>
          </w:tcPr>
          <w:p w:rsidR="007440C5" w:rsidRPr="00565D91" w:rsidRDefault="007440C5" w:rsidP="007440C5">
            <w:pPr>
              <w:spacing w:before="120"/>
              <w:rPr>
                <w:sz w:val="20"/>
                <w:szCs w:val="20"/>
              </w:rPr>
            </w:pPr>
            <w:r w:rsidRPr="00565D91">
              <w:rPr>
                <w:sz w:val="20"/>
                <w:szCs w:val="20"/>
              </w:rPr>
              <w:t>165</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Non-EU PG</w:t>
            </w:r>
          </w:p>
        </w:tc>
        <w:tc>
          <w:tcPr>
            <w:tcW w:w="1134" w:type="dxa"/>
            <w:noWrap/>
            <w:hideMark/>
          </w:tcPr>
          <w:p w:rsidR="007440C5" w:rsidRPr="00565D91" w:rsidRDefault="007440C5" w:rsidP="007440C5">
            <w:pPr>
              <w:spacing w:before="120"/>
              <w:rPr>
                <w:sz w:val="20"/>
                <w:szCs w:val="20"/>
              </w:rPr>
            </w:pPr>
            <w:r w:rsidRPr="00565D91">
              <w:rPr>
                <w:sz w:val="20"/>
                <w:szCs w:val="20"/>
              </w:rPr>
              <w:t>654</w:t>
            </w:r>
          </w:p>
        </w:tc>
        <w:tc>
          <w:tcPr>
            <w:tcW w:w="1134" w:type="dxa"/>
            <w:noWrap/>
            <w:hideMark/>
          </w:tcPr>
          <w:p w:rsidR="007440C5" w:rsidRPr="00565D91" w:rsidRDefault="007440C5" w:rsidP="007440C5">
            <w:pPr>
              <w:spacing w:before="120"/>
              <w:rPr>
                <w:sz w:val="20"/>
                <w:szCs w:val="20"/>
              </w:rPr>
            </w:pPr>
            <w:r w:rsidRPr="00565D91">
              <w:rPr>
                <w:sz w:val="20"/>
                <w:szCs w:val="20"/>
              </w:rPr>
              <w:t>651</w:t>
            </w:r>
          </w:p>
        </w:tc>
        <w:tc>
          <w:tcPr>
            <w:tcW w:w="1134" w:type="dxa"/>
            <w:noWrap/>
            <w:hideMark/>
          </w:tcPr>
          <w:p w:rsidR="007440C5" w:rsidRPr="00565D91" w:rsidRDefault="007440C5" w:rsidP="007440C5">
            <w:pPr>
              <w:spacing w:before="120"/>
              <w:rPr>
                <w:sz w:val="20"/>
                <w:szCs w:val="20"/>
              </w:rPr>
            </w:pPr>
            <w:r w:rsidRPr="00565D91">
              <w:rPr>
                <w:sz w:val="20"/>
                <w:szCs w:val="20"/>
              </w:rPr>
              <w:t>528</w:t>
            </w:r>
          </w:p>
        </w:tc>
        <w:tc>
          <w:tcPr>
            <w:tcW w:w="1134" w:type="dxa"/>
            <w:noWrap/>
            <w:hideMark/>
          </w:tcPr>
          <w:p w:rsidR="007440C5" w:rsidRPr="00565D91" w:rsidRDefault="007440C5" w:rsidP="007440C5">
            <w:pPr>
              <w:spacing w:before="120"/>
              <w:rPr>
                <w:sz w:val="20"/>
                <w:szCs w:val="20"/>
              </w:rPr>
            </w:pPr>
            <w:r w:rsidRPr="00565D91">
              <w:rPr>
                <w:sz w:val="20"/>
                <w:szCs w:val="20"/>
              </w:rPr>
              <w:t>473</w:t>
            </w:r>
          </w:p>
        </w:tc>
        <w:tc>
          <w:tcPr>
            <w:tcW w:w="1275" w:type="dxa"/>
            <w:noWrap/>
            <w:hideMark/>
          </w:tcPr>
          <w:p w:rsidR="007440C5" w:rsidRPr="00565D91" w:rsidRDefault="007440C5" w:rsidP="007440C5">
            <w:pPr>
              <w:spacing w:before="120"/>
              <w:rPr>
                <w:sz w:val="20"/>
                <w:szCs w:val="20"/>
              </w:rPr>
            </w:pPr>
            <w:r w:rsidRPr="00565D91">
              <w:rPr>
                <w:sz w:val="20"/>
                <w:szCs w:val="20"/>
              </w:rPr>
              <w:t>330</w:t>
            </w:r>
          </w:p>
        </w:tc>
      </w:tr>
      <w:tr w:rsidR="007440C5" w:rsidRPr="00565D91" w:rsidTr="00BB288F">
        <w:trPr>
          <w:trHeight w:val="300"/>
        </w:trPr>
        <w:tc>
          <w:tcPr>
            <w:tcW w:w="1560" w:type="dxa"/>
            <w:noWrap/>
            <w:hideMark/>
          </w:tcPr>
          <w:p w:rsidR="007440C5" w:rsidRPr="00565D91" w:rsidRDefault="007440C5" w:rsidP="007440C5">
            <w:pPr>
              <w:spacing w:before="120"/>
              <w:rPr>
                <w:sz w:val="20"/>
                <w:szCs w:val="20"/>
              </w:rPr>
            </w:pPr>
            <w:r w:rsidRPr="00565D91">
              <w:rPr>
                <w:sz w:val="20"/>
                <w:szCs w:val="20"/>
              </w:rPr>
              <w:t>Other EU PG</w:t>
            </w:r>
          </w:p>
        </w:tc>
        <w:tc>
          <w:tcPr>
            <w:tcW w:w="1134" w:type="dxa"/>
            <w:noWrap/>
            <w:hideMark/>
          </w:tcPr>
          <w:p w:rsidR="007440C5" w:rsidRPr="00565D91" w:rsidRDefault="007440C5" w:rsidP="007440C5">
            <w:pPr>
              <w:spacing w:before="120"/>
              <w:rPr>
                <w:sz w:val="20"/>
                <w:szCs w:val="20"/>
              </w:rPr>
            </w:pPr>
            <w:r w:rsidRPr="00565D91">
              <w:rPr>
                <w:sz w:val="20"/>
                <w:szCs w:val="20"/>
              </w:rPr>
              <w:t>96</w:t>
            </w:r>
          </w:p>
        </w:tc>
        <w:tc>
          <w:tcPr>
            <w:tcW w:w="1134" w:type="dxa"/>
            <w:noWrap/>
            <w:hideMark/>
          </w:tcPr>
          <w:p w:rsidR="007440C5" w:rsidRPr="00565D91" w:rsidRDefault="007440C5" w:rsidP="007440C5">
            <w:pPr>
              <w:spacing w:before="120"/>
              <w:rPr>
                <w:sz w:val="20"/>
                <w:szCs w:val="20"/>
              </w:rPr>
            </w:pPr>
            <w:r w:rsidRPr="00565D91">
              <w:rPr>
                <w:sz w:val="20"/>
                <w:szCs w:val="20"/>
              </w:rPr>
              <w:t>99</w:t>
            </w:r>
          </w:p>
        </w:tc>
        <w:tc>
          <w:tcPr>
            <w:tcW w:w="1134" w:type="dxa"/>
            <w:noWrap/>
            <w:hideMark/>
          </w:tcPr>
          <w:p w:rsidR="007440C5" w:rsidRPr="00565D91" w:rsidRDefault="007440C5" w:rsidP="007440C5">
            <w:pPr>
              <w:spacing w:before="120"/>
              <w:rPr>
                <w:sz w:val="20"/>
                <w:szCs w:val="20"/>
              </w:rPr>
            </w:pPr>
            <w:r w:rsidRPr="00565D91">
              <w:rPr>
                <w:sz w:val="20"/>
                <w:szCs w:val="20"/>
              </w:rPr>
              <w:t>110</w:t>
            </w:r>
          </w:p>
        </w:tc>
        <w:tc>
          <w:tcPr>
            <w:tcW w:w="1134" w:type="dxa"/>
            <w:noWrap/>
            <w:hideMark/>
          </w:tcPr>
          <w:p w:rsidR="007440C5" w:rsidRPr="00565D91" w:rsidRDefault="007440C5" w:rsidP="007440C5">
            <w:pPr>
              <w:spacing w:before="120"/>
              <w:rPr>
                <w:sz w:val="20"/>
                <w:szCs w:val="20"/>
              </w:rPr>
            </w:pPr>
            <w:r w:rsidRPr="00565D91">
              <w:rPr>
                <w:sz w:val="20"/>
                <w:szCs w:val="20"/>
              </w:rPr>
              <w:t>74</w:t>
            </w:r>
          </w:p>
        </w:tc>
        <w:tc>
          <w:tcPr>
            <w:tcW w:w="1275" w:type="dxa"/>
            <w:noWrap/>
            <w:hideMark/>
          </w:tcPr>
          <w:p w:rsidR="007440C5" w:rsidRPr="00565D91" w:rsidRDefault="007440C5" w:rsidP="007440C5">
            <w:pPr>
              <w:spacing w:before="120"/>
              <w:rPr>
                <w:sz w:val="20"/>
                <w:szCs w:val="20"/>
              </w:rPr>
            </w:pPr>
            <w:r w:rsidRPr="00565D91">
              <w:rPr>
                <w:sz w:val="20"/>
                <w:szCs w:val="20"/>
              </w:rPr>
              <w:t>62</w:t>
            </w:r>
          </w:p>
        </w:tc>
      </w:tr>
      <w:tr w:rsidR="007440C5" w:rsidRPr="00565D91" w:rsidTr="00BB288F">
        <w:trPr>
          <w:trHeight w:val="300"/>
        </w:trPr>
        <w:tc>
          <w:tcPr>
            <w:tcW w:w="1560" w:type="dxa"/>
            <w:noWrap/>
            <w:hideMark/>
          </w:tcPr>
          <w:p w:rsidR="007440C5" w:rsidRPr="00565D91" w:rsidRDefault="007440C5" w:rsidP="007440C5">
            <w:pPr>
              <w:spacing w:before="120"/>
              <w:rPr>
                <w:b/>
                <w:bCs/>
                <w:sz w:val="20"/>
                <w:szCs w:val="20"/>
              </w:rPr>
            </w:pPr>
            <w:r w:rsidRPr="00565D91">
              <w:rPr>
                <w:b/>
                <w:bCs/>
                <w:sz w:val="20"/>
                <w:szCs w:val="20"/>
              </w:rPr>
              <w:t>PG total</w:t>
            </w:r>
          </w:p>
        </w:tc>
        <w:tc>
          <w:tcPr>
            <w:tcW w:w="1134" w:type="dxa"/>
            <w:noWrap/>
            <w:hideMark/>
          </w:tcPr>
          <w:p w:rsidR="007440C5" w:rsidRPr="00565D91" w:rsidRDefault="007440C5" w:rsidP="007440C5">
            <w:pPr>
              <w:spacing w:before="120"/>
              <w:rPr>
                <w:b/>
                <w:bCs/>
                <w:sz w:val="20"/>
                <w:szCs w:val="20"/>
              </w:rPr>
            </w:pPr>
            <w:r w:rsidRPr="00565D91">
              <w:rPr>
                <w:b/>
                <w:bCs/>
                <w:sz w:val="20"/>
                <w:szCs w:val="20"/>
              </w:rPr>
              <w:t>939</w:t>
            </w:r>
          </w:p>
        </w:tc>
        <w:tc>
          <w:tcPr>
            <w:tcW w:w="1134" w:type="dxa"/>
            <w:noWrap/>
            <w:hideMark/>
          </w:tcPr>
          <w:p w:rsidR="007440C5" w:rsidRPr="00565D91" w:rsidRDefault="007440C5" w:rsidP="007440C5">
            <w:pPr>
              <w:spacing w:before="120"/>
              <w:rPr>
                <w:b/>
                <w:bCs/>
                <w:sz w:val="20"/>
                <w:szCs w:val="20"/>
              </w:rPr>
            </w:pPr>
            <w:r w:rsidRPr="00565D91">
              <w:rPr>
                <w:b/>
                <w:bCs/>
                <w:sz w:val="20"/>
                <w:szCs w:val="20"/>
              </w:rPr>
              <w:t>912</w:t>
            </w:r>
          </w:p>
        </w:tc>
        <w:tc>
          <w:tcPr>
            <w:tcW w:w="1134" w:type="dxa"/>
            <w:noWrap/>
            <w:hideMark/>
          </w:tcPr>
          <w:p w:rsidR="007440C5" w:rsidRPr="00565D91" w:rsidRDefault="007440C5" w:rsidP="007440C5">
            <w:pPr>
              <w:spacing w:before="120"/>
              <w:rPr>
                <w:b/>
                <w:bCs/>
                <w:sz w:val="20"/>
                <w:szCs w:val="20"/>
              </w:rPr>
            </w:pPr>
            <w:r w:rsidRPr="00565D91">
              <w:rPr>
                <w:b/>
                <w:bCs/>
                <w:sz w:val="20"/>
                <w:szCs w:val="20"/>
              </w:rPr>
              <w:t>790</w:t>
            </w:r>
          </w:p>
        </w:tc>
        <w:tc>
          <w:tcPr>
            <w:tcW w:w="1134" w:type="dxa"/>
            <w:noWrap/>
            <w:hideMark/>
          </w:tcPr>
          <w:p w:rsidR="007440C5" w:rsidRPr="00565D91" w:rsidRDefault="007440C5" w:rsidP="007440C5">
            <w:pPr>
              <w:spacing w:before="120"/>
              <w:rPr>
                <w:b/>
                <w:bCs/>
                <w:sz w:val="20"/>
                <w:szCs w:val="20"/>
              </w:rPr>
            </w:pPr>
            <w:r w:rsidRPr="00565D91">
              <w:rPr>
                <w:b/>
                <w:bCs/>
                <w:sz w:val="20"/>
                <w:szCs w:val="20"/>
              </w:rPr>
              <w:t>691</w:t>
            </w:r>
          </w:p>
        </w:tc>
        <w:tc>
          <w:tcPr>
            <w:tcW w:w="1275" w:type="dxa"/>
            <w:noWrap/>
            <w:hideMark/>
          </w:tcPr>
          <w:p w:rsidR="007440C5" w:rsidRPr="00565D91" w:rsidRDefault="007440C5" w:rsidP="007440C5">
            <w:pPr>
              <w:spacing w:before="120"/>
              <w:rPr>
                <w:b/>
                <w:bCs/>
                <w:sz w:val="20"/>
                <w:szCs w:val="20"/>
              </w:rPr>
            </w:pPr>
            <w:r w:rsidRPr="00565D91">
              <w:rPr>
                <w:b/>
                <w:bCs/>
                <w:sz w:val="20"/>
                <w:szCs w:val="20"/>
              </w:rPr>
              <w:t>557</w:t>
            </w:r>
          </w:p>
        </w:tc>
      </w:tr>
      <w:tr w:rsidR="007440C5" w:rsidRPr="00565D91" w:rsidTr="00BB288F">
        <w:trPr>
          <w:trHeight w:val="315"/>
        </w:trPr>
        <w:tc>
          <w:tcPr>
            <w:tcW w:w="1560" w:type="dxa"/>
            <w:noWrap/>
            <w:hideMark/>
          </w:tcPr>
          <w:p w:rsidR="007440C5" w:rsidRPr="00565D91" w:rsidRDefault="007440C5" w:rsidP="007440C5">
            <w:pPr>
              <w:spacing w:before="120"/>
              <w:rPr>
                <w:b/>
                <w:bCs/>
                <w:sz w:val="20"/>
                <w:szCs w:val="20"/>
              </w:rPr>
            </w:pPr>
            <w:r w:rsidRPr="00565D91">
              <w:rPr>
                <w:b/>
                <w:bCs/>
                <w:sz w:val="20"/>
                <w:szCs w:val="20"/>
              </w:rPr>
              <w:t>TOTAL</w:t>
            </w:r>
          </w:p>
        </w:tc>
        <w:tc>
          <w:tcPr>
            <w:tcW w:w="1134" w:type="dxa"/>
            <w:noWrap/>
            <w:hideMark/>
          </w:tcPr>
          <w:p w:rsidR="007440C5" w:rsidRPr="00565D91" w:rsidRDefault="007440C5" w:rsidP="007440C5">
            <w:pPr>
              <w:spacing w:before="120"/>
              <w:rPr>
                <w:b/>
                <w:bCs/>
                <w:sz w:val="20"/>
                <w:szCs w:val="20"/>
              </w:rPr>
            </w:pPr>
            <w:r w:rsidRPr="00565D91">
              <w:rPr>
                <w:b/>
                <w:bCs/>
                <w:sz w:val="20"/>
                <w:szCs w:val="20"/>
              </w:rPr>
              <w:t>4,395</w:t>
            </w:r>
          </w:p>
        </w:tc>
        <w:tc>
          <w:tcPr>
            <w:tcW w:w="1134" w:type="dxa"/>
            <w:noWrap/>
            <w:hideMark/>
          </w:tcPr>
          <w:p w:rsidR="007440C5" w:rsidRPr="00565D91" w:rsidRDefault="007440C5" w:rsidP="007440C5">
            <w:pPr>
              <w:spacing w:before="120"/>
              <w:rPr>
                <w:b/>
                <w:bCs/>
                <w:sz w:val="20"/>
                <w:szCs w:val="20"/>
              </w:rPr>
            </w:pPr>
            <w:r w:rsidRPr="00565D91">
              <w:rPr>
                <w:b/>
                <w:bCs/>
                <w:sz w:val="20"/>
                <w:szCs w:val="20"/>
              </w:rPr>
              <w:t>4,143</w:t>
            </w:r>
          </w:p>
        </w:tc>
        <w:tc>
          <w:tcPr>
            <w:tcW w:w="1134" w:type="dxa"/>
            <w:noWrap/>
            <w:hideMark/>
          </w:tcPr>
          <w:p w:rsidR="007440C5" w:rsidRPr="00565D91" w:rsidRDefault="007440C5" w:rsidP="007440C5">
            <w:pPr>
              <w:spacing w:before="120"/>
              <w:rPr>
                <w:b/>
                <w:bCs/>
                <w:sz w:val="20"/>
                <w:szCs w:val="20"/>
              </w:rPr>
            </w:pPr>
            <w:r w:rsidRPr="00565D91">
              <w:rPr>
                <w:b/>
                <w:bCs/>
                <w:sz w:val="20"/>
                <w:szCs w:val="20"/>
              </w:rPr>
              <w:t>4,163</w:t>
            </w:r>
          </w:p>
        </w:tc>
        <w:tc>
          <w:tcPr>
            <w:tcW w:w="1134" w:type="dxa"/>
            <w:noWrap/>
            <w:hideMark/>
          </w:tcPr>
          <w:p w:rsidR="007440C5" w:rsidRPr="00565D91" w:rsidRDefault="007440C5" w:rsidP="007440C5">
            <w:pPr>
              <w:spacing w:before="120"/>
              <w:rPr>
                <w:b/>
                <w:bCs/>
                <w:sz w:val="20"/>
                <w:szCs w:val="20"/>
              </w:rPr>
            </w:pPr>
            <w:r w:rsidRPr="00565D91">
              <w:rPr>
                <w:b/>
                <w:bCs/>
                <w:sz w:val="20"/>
                <w:szCs w:val="20"/>
              </w:rPr>
              <w:t>3,462</w:t>
            </w:r>
          </w:p>
        </w:tc>
        <w:tc>
          <w:tcPr>
            <w:tcW w:w="1275" w:type="dxa"/>
            <w:noWrap/>
            <w:hideMark/>
          </w:tcPr>
          <w:p w:rsidR="007440C5" w:rsidRPr="00565D91" w:rsidRDefault="007440C5" w:rsidP="007440C5">
            <w:pPr>
              <w:spacing w:before="120"/>
              <w:rPr>
                <w:b/>
                <w:bCs/>
                <w:sz w:val="20"/>
                <w:szCs w:val="20"/>
              </w:rPr>
            </w:pPr>
            <w:r w:rsidRPr="00565D91">
              <w:rPr>
                <w:b/>
                <w:bCs/>
                <w:sz w:val="20"/>
                <w:szCs w:val="20"/>
              </w:rPr>
              <w:t>3,419</w:t>
            </w:r>
          </w:p>
        </w:tc>
      </w:tr>
    </w:tbl>
    <w:p w:rsidR="007440C5" w:rsidRPr="007440C5" w:rsidRDefault="007440C5" w:rsidP="007440C5">
      <w:pPr>
        <w:spacing w:before="120" w:after="0"/>
        <w:ind w:firstLine="720"/>
        <w:rPr>
          <w:sz w:val="18"/>
        </w:rPr>
      </w:pPr>
      <w:r w:rsidRPr="007440C5">
        <w:rPr>
          <w:sz w:val="18"/>
        </w:rPr>
        <w:t>(</w:t>
      </w:r>
      <w:r w:rsidRPr="007440C5">
        <w:rPr>
          <w:i/>
          <w:sz w:val="18"/>
        </w:rPr>
        <w:t>Source: University of Bradford</w:t>
      </w:r>
      <w:r w:rsidRPr="007440C5">
        <w:rPr>
          <w:sz w:val="18"/>
        </w:rPr>
        <w:t>)</w:t>
      </w:r>
    </w:p>
    <w:p w:rsidR="007440C5" w:rsidRPr="007440C5" w:rsidRDefault="007440C5" w:rsidP="005D2F4D">
      <w:pPr>
        <w:tabs>
          <w:tab w:val="left" w:pos="1701"/>
        </w:tabs>
        <w:spacing w:before="120" w:after="0"/>
        <w:ind w:firstLine="720"/>
        <w:rPr>
          <w:i/>
        </w:rPr>
      </w:pPr>
      <w:r w:rsidRPr="007440C5">
        <w:rPr>
          <w:i/>
        </w:rPr>
        <w:t xml:space="preserve">Graph 2: </w:t>
      </w:r>
      <w:r w:rsidR="005D2F4D">
        <w:rPr>
          <w:i/>
        </w:rPr>
        <w:tab/>
      </w:r>
      <w:r w:rsidRPr="007440C5">
        <w:rPr>
          <w:i/>
        </w:rPr>
        <w:t>University of Bradford: full-time student intakes 2009/10 – 2013/14</w:t>
      </w:r>
    </w:p>
    <w:p w:rsidR="007440C5" w:rsidRPr="007440C5" w:rsidRDefault="007440C5" w:rsidP="007440C5">
      <w:pPr>
        <w:spacing w:before="120" w:after="0"/>
        <w:ind w:firstLine="720"/>
        <w:rPr>
          <w:u w:val="single"/>
        </w:rPr>
      </w:pPr>
      <w:r w:rsidRPr="007440C5">
        <w:rPr>
          <w:noProof/>
          <w:lang w:eastAsia="en-GB"/>
        </w:rPr>
        <w:drawing>
          <wp:anchor distT="0" distB="0" distL="114300" distR="114300" simplePos="0" relativeHeight="251668480" behindDoc="0" locked="0" layoutInCell="1" allowOverlap="1" wp14:anchorId="16F6043E" wp14:editId="770D8C25">
            <wp:simplePos x="0" y="0"/>
            <wp:positionH relativeFrom="column">
              <wp:posOffset>572770</wp:posOffset>
            </wp:positionH>
            <wp:positionV relativeFrom="paragraph">
              <wp:posOffset>252730</wp:posOffset>
            </wp:positionV>
            <wp:extent cx="4638675" cy="2647950"/>
            <wp:effectExtent l="0" t="0" r="9525"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u w:val="single"/>
        </w:rPr>
      </w:pPr>
    </w:p>
    <w:p w:rsidR="007440C5" w:rsidRPr="007440C5" w:rsidRDefault="007440C5" w:rsidP="007440C5">
      <w:pPr>
        <w:spacing w:before="120" w:after="0"/>
        <w:ind w:firstLine="720"/>
        <w:rPr>
          <w:sz w:val="18"/>
        </w:rPr>
      </w:pPr>
      <w:r w:rsidRPr="007440C5">
        <w:rPr>
          <w:sz w:val="18"/>
        </w:rPr>
        <w:t>(</w:t>
      </w:r>
      <w:r w:rsidRPr="007440C5">
        <w:rPr>
          <w:i/>
          <w:sz w:val="18"/>
        </w:rPr>
        <w:t>Source: University of Bradford</w:t>
      </w:r>
      <w:r w:rsidRPr="007440C5">
        <w:rPr>
          <w:sz w:val="18"/>
        </w:rPr>
        <w:t>)</w:t>
      </w:r>
      <w:r w:rsidRPr="007440C5">
        <w:rPr>
          <w:sz w:val="18"/>
          <w:highlight w:val="magenta"/>
        </w:rPr>
        <w:t xml:space="preserve"> </w:t>
      </w:r>
    </w:p>
    <w:p w:rsidR="007440C5" w:rsidRPr="007440C5" w:rsidRDefault="007440C5" w:rsidP="007440C5">
      <w:r w:rsidRPr="007440C5">
        <w:br w:type="page"/>
      </w:r>
    </w:p>
    <w:p w:rsidR="007440C5" w:rsidRPr="007440C5" w:rsidRDefault="007440C5" w:rsidP="007440C5">
      <w:pPr>
        <w:spacing w:before="120" w:after="0"/>
        <w:ind w:left="709"/>
      </w:pPr>
      <w:r w:rsidRPr="007440C5">
        <w:lastRenderedPageBreak/>
        <w:t xml:space="preserve">Table 17 and Graph 3 below show how student intake numbers have affected annual total student populations. </w:t>
      </w:r>
    </w:p>
    <w:p w:rsidR="007440C5" w:rsidRPr="007440C5" w:rsidRDefault="007440C5" w:rsidP="005D2F4D">
      <w:pPr>
        <w:tabs>
          <w:tab w:val="left" w:pos="1701"/>
        </w:tabs>
        <w:spacing w:before="120" w:after="0"/>
        <w:ind w:left="709"/>
        <w:rPr>
          <w:i/>
        </w:rPr>
      </w:pPr>
      <w:r w:rsidRPr="007440C5">
        <w:rPr>
          <w:i/>
        </w:rPr>
        <w:t>Table 17:</w:t>
      </w:r>
      <w:r w:rsidRPr="007440C5">
        <w:rPr>
          <w:i/>
        </w:rPr>
        <w:tab/>
        <w:t>University of Bradford: full-time total student populations 2009/10 – 2013/14</w:t>
      </w:r>
    </w:p>
    <w:p w:rsidR="007440C5" w:rsidRPr="007440C5" w:rsidRDefault="007440C5" w:rsidP="007440C5">
      <w:pPr>
        <w:spacing w:before="120" w:after="0"/>
        <w:rPr>
          <w:sz w:val="18"/>
        </w:rPr>
      </w:pPr>
    </w:p>
    <w:tbl>
      <w:tblPr>
        <w:tblStyle w:val="TableGrid"/>
        <w:tblW w:w="0" w:type="auto"/>
        <w:tblInd w:w="959" w:type="dxa"/>
        <w:tblLook w:val="04A0" w:firstRow="1" w:lastRow="0" w:firstColumn="1" w:lastColumn="0" w:noHBand="0" w:noVBand="1"/>
      </w:tblPr>
      <w:tblGrid>
        <w:gridCol w:w="1559"/>
        <w:gridCol w:w="992"/>
        <w:gridCol w:w="993"/>
        <w:gridCol w:w="992"/>
        <w:gridCol w:w="992"/>
        <w:gridCol w:w="992"/>
      </w:tblGrid>
      <w:tr w:rsidR="007440C5" w:rsidRPr="007440C5" w:rsidTr="00565D91">
        <w:tc>
          <w:tcPr>
            <w:tcW w:w="1559" w:type="dxa"/>
          </w:tcPr>
          <w:p w:rsidR="007440C5" w:rsidRPr="00565D91" w:rsidRDefault="007440C5" w:rsidP="007440C5">
            <w:pPr>
              <w:spacing w:before="120"/>
              <w:rPr>
                <w:sz w:val="20"/>
                <w:szCs w:val="20"/>
              </w:rPr>
            </w:pPr>
          </w:p>
        </w:tc>
        <w:tc>
          <w:tcPr>
            <w:tcW w:w="992" w:type="dxa"/>
          </w:tcPr>
          <w:p w:rsidR="007440C5" w:rsidRPr="00565D91" w:rsidRDefault="007440C5" w:rsidP="007440C5">
            <w:pPr>
              <w:spacing w:before="120"/>
              <w:rPr>
                <w:b/>
                <w:bCs/>
                <w:sz w:val="20"/>
                <w:szCs w:val="20"/>
              </w:rPr>
            </w:pPr>
            <w:r w:rsidRPr="00565D91">
              <w:rPr>
                <w:b/>
                <w:bCs/>
                <w:sz w:val="20"/>
                <w:szCs w:val="20"/>
              </w:rPr>
              <w:t>2009/10</w:t>
            </w:r>
          </w:p>
        </w:tc>
        <w:tc>
          <w:tcPr>
            <w:tcW w:w="993" w:type="dxa"/>
          </w:tcPr>
          <w:p w:rsidR="007440C5" w:rsidRPr="00565D91" w:rsidRDefault="007440C5" w:rsidP="007440C5">
            <w:pPr>
              <w:spacing w:before="120"/>
              <w:rPr>
                <w:b/>
                <w:bCs/>
                <w:sz w:val="20"/>
                <w:szCs w:val="20"/>
              </w:rPr>
            </w:pPr>
            <w:r w:rsidRPr="00565D91">
              <w:rPr>
                <w:b/>
                <w:bCs/>
                <w:sz w:val="20"/>
                <w:szCs w:val="20"/>
              </w:rPr>
              <w:t>2010/11</w:t>
            </w:r>
          </w:p>
        </w:tc>
        <w:tc>
          <w:tcPr>
            <w:tcW w:w="992" w:type="dxa"/>
          </w:tcPr>
          <w:p w:rsidR="007440C5" w:rsidRPr="00565D91" w:rsidRDefault="007440C5" w:rsidP="007440C5">
            <w:pPr>
              <w:spacing w:before="120"/>
              <w:rPr>
                <w:sz w:val="20"/>
                <w:szCs w:val="20"/>
              </w:rPr>
            </w:pPr>
            <w:r w:rsidRPr="00565D91">
              <w:rPr>
                <w:b/>
                <w:bCs/>
                <w:sz w:val="20"/>
                <w:szCs w:val="20"/>
              </w:rPr>
              <w:t>2011/12</w:t>
            </w:r>
          </w:p>
        </w:tc>
        <w:tc>
          <w:tcPr>
            <w:tcW w:w="992" w:type="dxa"/>
          </w:tcPr>
          <w:p w:rsidR="007440C5" w:rsidRPr="00565D91" w:rsidRDefault="007440C5" w:rsidP="007440C5">
            <w:pPr>
              <w:spacing w:before="120"/>
              <w:rPr>
                <w:sz w:val="20"/>
                <w:szCs w:val="20"/>
              </w:rPr>
            </w:pPr>
            <w:r w:rsidRPr="00565D91">
              <w:rPr>
                <w:b/>
                <w:bCs/>
                <w:sz w:val="20"/>
                <w:szCs w:val="20"/>
              </w:rPr>
              <w:t>2012/13</w:t>
            </w:r>
          </w:p>
        </w:tc>
        <w:tc>
          <w:tcPr>
            <w:tcW w:w="992" w:type="dxa"/>
          </w:tcPr>
          <w:p w:rsidR="007440C5" w:rsidRPr="00565D91" w:rsidRDefault="007440C5" w:rsidP="007440C5">
            <w:pPr>
              <w:spacing w:before="120"/>
              <w:rPr>
                <w:sz w:val="20"/>
                <w:szCs w:val="20"/>
              </w:rPr>
            </w:pPr>
            <w:r w:rsidRPr="00565D91">
              <w:rPr>
                <w:b/>
                <w:bCs/>
                <w:sz w:val="20"/>
                <w:szCs w:val="20"/>
              </w:rPr>
              <w:t>2013/14</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Home UG</w:t>
            </w:r>
          </w:p>
        </w:tc>
        <w:tc>
          <w:tcPr>
            <w:tcW w:w="992" w:type="dxa"/>
          </w:tcPr>
          <w:p w:rsidR="007440C5" w:rsidRPr="00565D91" w:rsidRDefault="007440C5" w:rsidP="007440C5">
            <w:pPr>
              <w:spacing w:before="120"/>
              <w:rPr>
                <w:sz w:val="20"/>
                <w:szCs w:val="20"/>
              </w:rPr>
            </w:pPr>
            <w:r w:rsidRPr="00565D91">
              <w:rPr>
                <w:sz w:val="20"/>
                <w:szCs w:val="20"/>
              </w:rPr>
              <w:t>6,799</w:t>
            </w:r>
          </w:p>
        </w:tc>
        <w:tc>
          <w:tcPr>
            <w:tcW w:w="993" w:type="dxa"/>
          </w:tcPr>
          <w:p w:rsidR="007440C5" w:rsidRPr="00565D91" w:rsidRDefault="007440C5" w:rsidP="007440C5">
            <w:pPr>
              <w:spacing w:before="120"/>
              <w:rPr>
                <w:sz w:val="20"/>
                <w:szCs w:val="20"/>
              </w:rPr>
            </w:pPr>
            <w:r w:rsidRPr="00565D91">
              <w:rPr>
                <w:sz w:val="20"/>
                <w:szCs w:val="20"/>
              </w:rPr>
              <w:t>7,228</w:t>
            </w:r>
          </w:p>
        </w:tc>
        <w:tc>
          <w:tcPr>
            <w:tcW w:w="992" w:type="dxa"/>
          </w:tcPr>
          <w:p w:rsidR="007440C5" w:rsidRPr="00565D91" w:rsidRDefault="007440C5" w:rsidP="007440C5">
            <w:pPr>
              <w:spacing w:before="120"/>
              <w:rPr>
                <w:sz w:val="20"/>
                <w:szCs w:val="20"/>
              </w:rPr>
            </w:pPr>
            <w:r w:rsidRPr="00565D91">
              <w:rPr>
                <w:sz w:val="20"/>
                <w:szCs w:val="20"/>
              </w:rPr>
              <w:t>7,928</w:t>
            </w:r>
          </w:p>
        </w:tc>
        <w:tc>
          <w:tcPr>
            <w:tcW w:w="992" w:type="dxa"/>
          </w:tcPr>
          <w:p w:rsidR="007440C5" w:rsidRPr="00565D91" w:rsidRDefault="007440C5" w:rsidP="007440C5">
            <w:pPr>
              <w:spacing w:before="120"/>
              <w:rPr>
                <w:sz w:val="20"/>
                <w:szCs w:val="20"/>
              </w:rPr>
            </w:pPr>
            <w:r w:rsidRPr="00565D91">
              <w:rPr>
                <w:sz w:val="20"/>
                <w:szCs w:val="20"/>
              </w:rPr>
              <w:t>7,643</w:t>
            </w:r>
          </w:p>
        </w:tc>
        <w:tc>
          <w:tcPr>
            <w:tcW w:w="992" w:type="dxa"/>
          </w:tcPr>
          <w:p w:rsidR="007440C5" w:rsidRPr="00565D91" w:rsidRDefault="007440C5" w:rsidP="007440C5">
            <w:pPr>
              <w:spacing w:before="120"/>
              <w:rPr>
                <w:sz w:val="20"/>
                <w:szCs w:val="20"/>
              </w:rPr>
            </w:pPr>
            <w:r w:rsidRPr="00565D91">
              <w:rPr>
                <w:sz w:val="20"/>
                <w:szCs w:val="20"/>
              </w:rPr>
              <w:t>7,447</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Non-EU UG</w:t>
            </w:r>
          </w:p>
        </w:tc>
        <w:tc>
          <w:tcPr>
            <w:tcW w:w="992" w:type="dxa"/>
          </w:tcPr>
          <w:p w:rsidR="007440C5" w:rsidRPr="00565D91" w:rsidRDefault="007440C5" w:rsidP="007440C5">
            <w:pPr>
              <w:spacing w:before="120"/>
              <w:rPr>
                <w:sz w:val="20"/>
                <w:szCs w:val="20"/>
              </w:rPr>
            </w:pPr>
            <w:r w:rsidRPr="00565D91">
              <w:rPr>
                <w:sz w:val="20"/>
                <w:szCs w:val="20"/>
              </w:rPr>
              <w:t>1,006</w:t>
            </w:r>
          </w:p>
        </w:tc>
        <w:tc>
          <w:tcPr>
            <w:tcW w:w="993" w:type="dxa"/>
          </w:tcPr>
          <w:p w:rsidR="007440C5" w:rsidRPr="00565D91" w:rsidRDefault="007440C5" w:rsidP="007440C5">
            <w:pPr>
              <w:spacing w:before="120"/>
              <w:rPr>
                <w:sz w:val="20"/>
                <w:szCs w:val="20"/>
              </w:rPr>
            </w:pPr>
            <w:r w:rsidRPr="00565D91">
              <w:rPr>
                <w:sz w:val="20"/>
                <w:szCs w:val="20"/>
              </w:rPr>
              <w:t>956</w:t>
            </w:r>
          </w:p>
        </w:tc>
        <w:tc>
          <w:tcPr>
            <w:tcW w:w="992" w:type="dxa"/>
          </w:tcPr>
          <w:p w:rsidR="007440C5" w:rsidRPr="00565D91" w:rsidRDefault="007440C5" w:rsidP="007440C5">
            <w:pPr>
              <w:spacing w:before="120"/>
              <w:rPr>
                <w:sz w:val="20"/>
                <w:szCs w:val="20"/>
              </w:rPr>
            </w:pPr>
            <w:r w:rsidRPr="00565D91">
              <w:rPr>
                <w:sz w:val="20"/>
                <w:szCs w:val="20"/>
              </w:rPr>
              <w:t>893</w:t>
            </w:r>
          </w:p>
        </w:tc>
        <w:tc>
          <w:tcPr>
            <w:tcW w:w="992" w:type="dxa"/>
          </w:tcPr>
          <w:p w:rsidR="007440C5" w:rsidRPr="00565D91" w:rsidRDefault="007440C5" w:rsidP="007440C5">
            <w:pPr>
              <w:spacing w:before="120"/>
              <w:rPr>
                <w:sz w:val="20"/>
                <w:szCs w:val="20"/>
              </w:rPr>
            </w:pPr>
            <w:r w:rsidRPr="00565D91">
              <w:rPr>
                <w:sz w:val="20"/>
                <w:szCs w:val="20"/>
              </w:rPr>
              <w:t>824</w:t>
            </w:r>
          </w:p>
        </w:tc>
        <w:tc>
          <w:tcPr>
            <w:tcW w:w="992" w:type="dxa"/>
          </w:tcPr>
          <w:p w:rsidR="007440C5" w:rsidRPr="00565D91" w:rsidRDefault="007440C5" w:rsidP="007440C5">
            <w:pPr>
              <w:spacing w:before="120"/>
              <w:rPr>
                <w:sz w:val="20"/>
                <w:szCs w:val="20"/>
              </w:rPr>
            </w:pPr>
            <w:r w:rsidRPr="00565D91">
              <w:rPr>
                <w:sz w:val="20"/>
                <w:szCs w:val="20"/>
              </w:rPr>
              <w:t>798</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Other EU UG</w:t>
            </w:r>
          </w:p>
        </w:tc>
        <w:tc>
          <w:tcPr>
            <w:tcW w:w="992" w:type="dxa"/>
          </w:tcPr>
          <w:p w:rsidR="007440C5" w:rsidRPr="00565D91" w:rsidRDefault="007440C5" w:rsidP="007440C5">
            <w:pPr>
              <w:spacing w:before="120"/>
              <w:rPr>
                <w:sz w:val="20"/>
                <w:szCs w:val="20"/>
              </w:rPr>
            </w:pPr>
            <w:r w:rsidRPr="00565D91">
              <w:rPr>
                <w:sz w:val="20"/>
                <w:szCs w:val="20"/>
              </w:rPr>
              <w:t>742</w:t>
            </w:r>
          </w:p>
        </w:tc>
        <w:tc>
          <w:tcPr>
            <w:tcW w:w="993" w:type="dxa"/>
          </w:tcPr>
          <w:p w:rsidR="007440C5" w:rsidRPr="00565D91" w:rsidRDefault="007440C5" w:rsidP="007440C5">
            <w:pPr>
              <w:spacing w:before="120"/>
              <w:rPr>
                <w:sz w:val="20"/>
                <w:szCs w:val="20"/>
              </w:rPr>
            </w:pPr>
            <w:r w:rsidRPr="00565D91">
              <w:rPr>
                <w:sz w:val="20"/>
                <w:szCs w:val="20"/>
              </w:rPr>
              <w:t>683</w:t>
            </w:r>
          </w:p>
        </w:tc>
        <w:tc>
          <w:tcPr>
            <w:tcW w:w="992" w:type="dxa"/>
          </w:tcPr>
          <w:p w:rsidR="007440C5" w:rsidRPr="00565D91" w:rsidRDefault="007440C5" w:rsidP="007440C5">
            <w:pPr>
              <w:spacing w:before="120"/>
              <w:rPr>
                <w:sz w:val="20"/>
                <w:szCs w:val="20"/>
              </w:rPr>
            </w:pPr>
            <w:r w:rsidRPr="00565D91">
              <w:rPr>
                <w:sz w:val="20"/>
                <w:szCs w:val="20"/>
              </w:rPr>
              <w:t>773</w:t>
            </w:r>
          </w:p>
        </w:tc>
        <w:tc>
          <w:tcPr>
            <w:tcW w:w="992" w:type="dxa"/>
          </w:tcPr>
          <w:p w:rsidR="007440C5" w:rsidRPr="00565D91" w:rsidRDefault="007440C5" w:rsidP="007440C5">
            <w:pPr>
              <w:spacing w:before="120"/>
              <w:rPr>
                <w:sz w:val="20"/>
                <w:szCs w:val="20"/>
              </w:rPr>
            </w:pPr>
            <w:r w:rsidRPr="00565D91">
              <w:rPr>
                <w:sz w:val="20"/>
                <w:szCs w:val="20"/>
              </w:rPr>
              <w:t>695</w:t>
            </w:r>
          </w:p>
        </w:tc>
        <w:tc>
          <w:tcPr>
            <w:tcW w:w="992" w:type="dxa"/>
          </w:tcPr>
          <w:p w:rsidR="007440C5" w:rsidRPr="00565D91" w:rsidRDefault="007440C5" w:rsidP="007440C5">
            <w:pPr>
              <w:spacing w:before="120"/>
              <w:rPr>
                <w:sz w:val="20"/>
                <w:szCs w:val="20"/>
              </w:rPr>
            </w:pPr>
            <w:r w:rsidRPr="00565D91">
              <w:rPr>
                <w:sz w:val="20"/>
                <w:szCs w:val="20"/>
              </w:rPr>
              <w:t>619</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Home PG</w:t>
            </w:r>
          </w:p>
        </w:tc>
        <w:tc>
          <w:tcPr>
            <w:tcW w:w="992" w:type="dxa"/>
          </w:tcPr>
          <w:p w:rsidR="007440C5" w:rsidRPr="00565D91" w:rsidRDefault="007440C5" w:rsidP="007440C5">
            <w:pPr>
              <w:spacing w:before="120"/>
              <w:rPr>
                <w:sz w:val="20"/>
                <w:szCs w:val="20"/>
              </w:rPr>
            </w:pPr>
            <w:r w:rsidRPr="00565D91">
              <w:rPr>
                <w:sz w:val="20"/>
                <w:szCs w:val="20"/>
              </w:rPr>
              <w:t>317</w:t>
            </w:r>
          </w:p>
        </w:tc>
        <w:tc>
          <w:tcPr>
            <w:tcW w:w="993" w:type="dxa"/>
          </w:tcPr>
          <w:p w:rsidR="007440C5" w:rsidRPr="00565D91" w:rsidRDefault="007440C5" w:rsidP="007440C5">
            <w:pPr>
              <w:spacing w:before="120"/>
              <w:rPr>
                <w:sz w:val="20"/>
                <w:szCs w:val="20"/>
              </w:rPr>
            </w:pPr>
            <w:r w:rsidRPr="00565D91">
              <w:rPr>
                <w:sz w:val="20"/>
                <w:szCs w:val="20"/>
              </w:rPr>
              <w:t>295</w:t>
            </w:r>
          </w:p>
        </w:tc>
        <w:tc>
          <w:tcPr>
            <w:tcW w:w="992" w:type="dxa"/>
          </w:tcPr>
          <w:p w:rsidR="007440C5" w:rsidRPr="00565D91" w:rsidRDefault="007440C5" w:rsidP="007440C5">
            <w:pPr>
              <w:spacing w:before="120"/>
              <w:rPr>
                <w:sz w:val="20"/>
                <w:szCs w:val="20"/>
              </w:rPr>
            </w:pPr>
            <w:r w:rsidRPr="00565D91">
              <w:rPr>
                <w:sz w:val="20"/>
                <w:szCs w:val="20"/>
              </w:rPr>
              <w:t>269</w:t>
            </w:r>
          </w:p>
        </w:tc>
        <w:tc>
          <w:tcPr>
            <w:tcW w:w="992" w:type="dxa"/>
          </w:tcPr>
          <w:p w:rsidR="007440C5" w:rsidRPr="00565D91" w:rsidRDefault="007440C5" w:rsidP="007440C5">
            <w:pPr>
              <w:spacing w:before="120"/>
              <w:rPr>
                <w:sz w:val="20"/>
                <w:szCs w:val="20"/>
              </w:rPr>
            </w:pPr>
            <w:r w:rsidRPr="00565D91">
              <w:rPr>
                <w:sz w:val="20"/>
                <w:szCs w:val="20"/>
              </w:rPr>
              <w:t>270</w:t>
            </w:r>
          </w:p>
        </w:tc>
        <w:tc>
          <w:tcPr>
            <w:tcW w:w="992" w:type="dxa"/>
          </w:tcPr>
          <w:p w:rsidR="007440C5" w:rsidRPr="00565D91" w:rsidRDefault="007440C5" w:rsidP="007440C5">
            <w:pPr>
              <w:spacing w:before="120"/>
              <w:rPr>
                <w:sz w:val="20"/>
                <w:szCs w:val="20"/>
              </w:rPr>
            </w:pPr>
            <w:r w:rsidRPr="00565D91">
              <w:rPr>
                <w:sz w:val="20"/>
                <w:szCs w:val="20"/>
              </w:rPr>
              <w:t>295</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Non-EU PG</w:t>
            </w:r>
          </w:p>
        </w:tc>
        <w:tc>
          <w:tcPr>
            <w:tcW w:w="992" w:type="dxa"/>
          </w:tcPr>
          <w:p w:rsidR="007440C5" w:rsidRPr="00565D91" w:rsidRDefault="007440C5" w:rsidP="007440C5">
            <w:pPr>
              <w:spacing w:before="120"/>
              <w:rPr>
                <w:sz w:val="20"/>
                <w:szCs w:val="20"/>
              </w:rPr>
            </w:pPr>
            <w:r w:rsidRPr="00565D91">
              <w:rPr>
                <w:sz w:val="20"/>
                <w:szCs w:val="20"/>
              </w:rPr>
              <w:t>860</w:t>
            </w:r>
          </w:p>
        </w:tc>
        <w:tc>
          <w:tcPr>
            <w:tcW w:w="993" w:type="dxa"/>
          </w:tcPr>
          <w:p w:rsidR="007440C5" w:rsidRPr="00565D91" w:rsidRDefault="007440C5" w:rsidP="007440C5">
            <w:pPr>
              <w:spacing w:before="120"/>
              <w:rPr>
                <w:sz w:val="20"/>
                <w:szCs w:val="20"/>
              </w:rPr>
            </w:pPr>
            <w:r w:rsidRPr="00565D91">
              <w:rPr>
                <w:sz w:val="20"/>
                <w:szCs w:val="20"/>
              </w:rPr>
              <w:t>817</w:t>
            </w:r>
          </w:p>
        </w:tc>
        <w:tc>
          <w:tcPr>
            <w:tcW w:w="992" w:type="dxa"/>
          </w:tcPr>
          <w:p w:rsidR="007440C5" w:rsidRPr="00565D91" w:rsidRDefault="007440C5" w:rsidP="007440C5">
            <w:pPr>
              <w:spacing w:before="120"/>
              <w:rPr>
                <w:sz w:val="20"/>
                <w:szCs w:val="20"/>
              </w:rPr>
            </w:pPr>
            <w:r w:rsidRPr="00565D91">
              <w:rPr>
                <w:sz w:val="20"/>
                <w:szCs w:val="20"/>
              </w:rPr>
              <w:t>674</w:t>
            </w:r>
          </w:p>
        </w:tc>
        <w:tc>
          <w:tcPr>
            <w:tcW w:w="992" w:type="dxa"/>
          </w:tcPr>
          <w:p w:rsidR="007440C5" w:rsidRPr="00565D91" w:rsidRDefault="007440C5" w:rsidP="007440C5">
            <w:pPr>
              <w:spacing w:before="120"/>
              <w:rPr>
                <w:sz w:val="20"/>
                <w:szCs w:val="20"/>
              </w:rPr>
            </w:pPr>
            <w:r w:rsidRPr="00565D91">
              <w:rPr>
                <w:sz w:val="20"/>
                <w:szCs w:val="20"/>
              </w:rPr>
              <w:t>617</w:t>
            </w:r>
          </w:p>
        </w:tc>
        <w:tc>
          <w:tcPr>
            <w:tcW w:w="992" w:type="dxa"/>
          </w:tcPr>
          <w:p w:rsidR="007440C5" w:rsidRPr="00565D91" w:rsidRDefault="007440C5" w:rsidP="007440C5">
            <w:pPr>
              <w:spacing w:before="120"/>
              <w:rPr>
                <w:sz w:val="20"/>
                <w:szCs w:val="20"/>
              </w:rPr>
            </w:pPr>
            <w:r w:rsidRPr="00565D91">
              <w:rPr>
                <w:sz w:val="20"/>
                <w:szCs w:val="20"/>
              </w:rPr>
              <w:t>524</w:t>
            </w:r>
          </w:p>
        </w:tc>
      </w:tr>
      <w:tr w:rsidR="007440C5" w:rsidRPr="007440C5" w:rsidTr="00565D91">
        <w:tc>
          <w:tcPr>
            <w:tcW w:w="1559" w:type="dxa"/>
          </w:tcPr>
          <w:p w:rsidR="007440C5" w:rsidRPr="00565D91" w:rsidRDefault="007440C5" w:rsidP="007440C5">
            <w:pPr>
              <w:spacing w:before="120"/>
              <w:rPr>
                <w:sz w:val="20"/>
                <w:szCs w:val="20"/>
              </w:rPr>
            </w:pPr>
            <w:r w:rsidRPr="00565D91">
              <w:rPr>
                <w:sz w:val="20"/>
                <w:szCs w:val="20"/>
              </w:rPr>
              <w:t>Other EU PG</w:t>
            </w:r>
          </w:p>
        </w:tc>
        <w:tc>
          <w:tcPr>
            <w:tcW w:w="992" w:type="dxa"/>
          </w:tcPr>
          <w:p w:rsidR="007440C5" w:rsidRPr="00565D91" w:rsidRDefault="007440C5" w:rsidP="007440C5">
            <w:pPr>
              <w:spacing w:before="120"/>
              <w:rPr>
                <w:sz w:val="20"/>
                <w:szCs w:val="20"/>
              </w:rPr>
            </w:pPr>
            <w:r w:rsidRPr="00565D91">
              <w:rPr>
                <w:sz w:val="20"/>
                <w:szCs w:val="20"/>
              </w:rPr>
              <w:t>119</w:t>
            </w:r>
          </w:p>
        </w:tc>
        <w:tc>
          <w:tcPr>
            <w:tcW w:w="993" w:type="dxa"/>
          </w:tcPr>
          <w:p w:rsidR="007440C5" w:rsidRPr="00565D91" w:rsidRDefault="007440C5" w:rsidP="007440C5">
            <w:pPr>
              <w:spacing w:before="120"/>
              <w:rPr>
                <w:sz w:val="20"/>
                <w:szCs w:val="20"/>
              </w:rPr>
            </w:pPr>
            <w:r w:rsidRPr="00565D91">
              <w:rPr>
                <w:sz w:val="20"/>
                <w:szCs w:val="20"/>
              </w:rPr>
              <w:t>136</w:t>
            </w:r>
          </w:p>
        </w:tc>
        <w:tc>
          <w:tcPr>
            <w:tcW w:w="992" w:type="dxa"/>
          </w:tcPr>
          <w:p w:rsidR="007440C5" w:rsidRPr="00565D91" w:rsidRDefault="007440C5" w:rsidP="007440C5">
            <w:pPr>
              <w:spacing w:before="120"/>
              <w:rPr>
                <w:sz w:val="20"/>
                <w:szCs w:val="20"/>
              </w:rPr>
            </w:pPr>
            <w:r w:rsidRPr="00565D91">
              <w:rPr>
                <w:sz w:val="20"/>
                <w:szCs w:val="20"/>
              </w:rPr>
              <w:t>137</w:t>
            </w:r>
          </w:p>
        </w:tc>
        <w:tc>
          <w:tcPr>
            <w:tcW w:w="992" w:type="dxa"/>
          </w:tcPr>
          <w:p w:rsidR="007440C5" w:rsidRPr="00565D91" w:rsidRDefault="007440C5" w:rsidP="007440C5">
            <w:pPr>
              <w:spacing w:before="120"/>
              <w:rPr>
                <w:sz w:val="20"/>
                <w:szCs w:val="20"/>
              </w:rPr>
            </w:pPr>
            <w:r w:rsidRPr="00565D91">
              <w:rPr>
                <w:sz w:val="20"/>
                <w:szCs w:val="20"/>
              </w:rPr>
              <w:t>96</w:t>
            </w:r>
          </w:p>
        </w:tc>
        <w:tc>
          <w:tcPr>
            <w:tcW w:w="992" w:type="dxa"/>
          </w:tcPr>
          <w:p w:rsidR="007440C5" w:rsidRPr="00565D91" w:rsidRDefault="007440C5" w:rsidP="007440C5">
            <w:pPr>
              <w:spacing w:before="120"/>
              <w:rPr>
                <w:sz w:val="20"/>
                <w:szCs w:val="20"/>
              </w:rPr>
            </w:pPr>
            <w:r w:rsidRPr="00565D91">
              <w:rPr>
                <w:sz w:val="20"/>
                <w:szCs w:val="20"/>
              </w:rPr>
              <w:t>83</w:t>
            </w:r>
          </w:p>
        </w:tc>
      </w:tr>
      <w:tr w:rsidR="007440C5" w:rsidRPr="007440C5" w:rsidTr="00565D91">
        <w:tc>
          <w:tcPr>
            <w:tcW w:w="1559" w:type="dxa"/>
          </w:tcPr>
          <w:p w:rsidR="007440C5" w:rsidRPr="00565D91" w:rsidRDefault="007440C5" w:rsidP="007440C5">
            <w:pPr>
              <w:spacing w:before="120"/>
              <w:rPr>
                <w:sz w:val="20"/>
                <w:szCs w:val="20"/>
              </w:rPr>
            </w:pPr>
            <w:r w:rsidRPr="00565D91">
              <w:rPr>
                <w:b/>
                <w:bCs/>
                <w:sz w:val="20"/>
                <w:szCs w:val="20"/>
              </w:rPr>
              <w:t>TOTAL</w:t>
            </w:r>
          </w:p>
        </w:tc>
        <w:tc>
          <w:tcPr>
            <w:tcW w:w="992" w:type="dxa"/>
          </w:tcPr>
          <w:p w:rsidR="007440C5" w:rsidRPr="00565D91" w:rsidRDefault="007440C5" w:rsidP="007440C5">
            <w:pPr>
              <w:spacing w:before="120"/>
              <w:rPr>
                <w:b/>
                <w:sz w:val="20"/>
                <w:szCs w:val="20"/>
              </w:rPr>
            </w:pPr>
            <w:r w:rsidRPr="00565D91">
              <w:rPr>
                <w:b/>
                <w:sz w:val="20"/>
                <w:szCs w:val="20"/>
              </w:rPr>
              <w:t>9,843</w:t>
            </w:r>
          </w:p>
        </w:tc>
        <w:tc>
          <w:tcPr>
            <w:tcW w:w="993" w:type="dxa"/>
          </w:tcPr>
          <w:p w:rsidR="007440C5" w:rsidRPr="00565D91" w:rsidRDefault="007440C5" w:rsidP="007440C5">
            <w:pPr>
              <w:spacing w:before="120"/>
              <w:rPr>
                <w:b/>
                <w:sz w:val="20"/>
                <w:szCs w:val="20"/>
              </w:rPr>
            </w:pPr>
            <w:r w:rsidRPr="00565D91">
              <w:rPr>
                <w:b/>
                <w:sz w:val="20"/>
                <w:szCs w:val="20"/>
              </w:rPr>
              <w:t>10,115</w:t>
            </w:r>
          </w:p>
        </w:tc>
        <w:tc>
          <w:tcPr>
            <w:tcW w:w="992" w:type="dxa"/>
          </w:tcPr>
          <w:p w:rsidR="007440C5" w:rsidRPr="00565D91" w:rsidRDefault="007440C5" w:rsidP="007440C5">
            <w:pPr>
              <w:spacing w:before="120"/>
              <w:rPr>
                <w:b/>
                <w:sz w:val="20"/>
                <w:szCs w:val="20"/>
              </w:rPr>
            </w:pPr>
            <w:r w:rsidRPr="00565D91">
              <w:rPr>
                <w:b/>
                <w:sz w:val="20"/>
                <w:szCs w:val="20"/>
              </w:rPr>
              <w:t>10,674</w:t>
            </w:r>
          </w:p>
        </w:tc>
        <w:tc>
          <w:tcPr>
            <w:tcW w:w="992" w:type="dxa"/>
          </w:tcPr>
          <w:p w:rsidR="007440C5" w:rsidRPr="00565D91" w:rsidRDefault="007440C5" w:rsidP="007440C5">
            <w:pPr>
              <w:spacing w:before="120"/>
              <w:rPr>
                <w:b/>
                <w:sz w:val="20"/>
                <w:szCs w:val="20"/>
              </w:rPr>
            </w:pPr>
            <w:r w:rsidRPr="00565D91">
              <w:rPr>
                <w:b/>
                <w:sz w:val="20"/>
                <w:szCs w:val="20"/>
              </w:rPr>
              <w:t>10,145</w:t>
            </w:r>
          </w:p>
        </w:tc>
        <w:tc>
          <w:tcPr>
            <w:tcW w:w="992" w:type="dxa"/>
          </w:tcPr>
          <w:p w:rsidR="007440C5" w:rsidRPr="00565D91" w:rsidRDefault="007440C5" w:rsidP="007440C5">
            <w:pPr>
              <w:spacing w:before="120"/>
              <w:rPr>
                <w:b/>
                <w:sz w:val="20"/>
                <w:szCs w:val="20"/>
              </w:rPr>
            </w:pPr>
            <w:r w:rsidRPr="00565D91">
              <w:rPr>
                <w:b/>
                <w:sz w:val="20"/>
                <w:szCs w:val="20"/>
              </w:rPr>
              <w:t>9,766</w:t>
            </w:r>
          </w:p>
        </w:tc>
      </w:tr>
    </w:tbl>
    <w:p w:rsidR="007440C5" w:rsidRPr="00565D91" w:rsidRDefault="007440C5" w:rsidP="00565D91">
      <w:pPr>
        <w:spacing w:before="120" w:after="100" w:afterAutospacing="1"/>
        <w:ind w:firstLine="709"/>
        <w:rPr>
          <w:sz w:val="18"/>
        </w:rPr>
      </w:pPr>
      <w:r w:rsidRPr="007440C5">
        <w:rPr>
          <w:sz w:val="18"/>
        </w:rPr>
        <w:t>(</w:t>
      </w:r>
      <w:r w:rsidRPr="007440C5">
        <w:rPr>
          <w:i/>
          <w:sz w:val="18"/>
        </w:rPr>
        <w:t>Source: University of Bradford</w:t>
      </w:r>
      <w:r w:rsidR="00565D91">
        <w:rPr>
          <w:sz w:val="18"/>
        </w:rPr>
        <w:t>)</w:t>
      </w:r>
    </w:p>
    <w:p w:rsidR="007440C5" w:rsidRPr="007440C5" w:rsidRDefault="007440C5" w:rsidP="005D2F4D">
      <w:pPr>
        <w:tabs>
          <w:tab w:val="left" w:pos="1418"/>
          <w:tab w:val="left" w:pos="1701"/>
        </w:tabs>
        <w:ind w:left="709"/>
        <w:rPr>
          <w:u w:val="single"/>
        </w:rPr>
      </w:pPr>
      <w:r w:rsidRPr="007440C5">
        <w:rPr>
          <w:i/>
        </w:rPr>
        <w:t xml:space="preserve">Graph 3: </w:t>
      </w:r>
      <w:r w:rsidR="005D2F4D">
        <w:rPr>
          <w:i/>
        </w:rPr>
        <w:tab/>
      </w:r>
      <w:r w:rsidRPr="007440C5">
        <w:rPr>
          <w:i/>
        </w:rPr>
        <w:t>University of Bradford: full-time total student populations 2009/10 – 2013/14</w:t>
      </w:r>
    </w:p>
    <w:p w:rsidR="007440C5" w:rsidRPr="007440C5" w:rsidRDefault="007440C5" w:rsidP="007440C5">
      <w:pPr>
        <w:spacing w:before="120" w:after="0"/>
      </w:pPr>
      <w:r w:rsidRPr="007440C5">
        <w:rPr>
          <w:noProof/>
          <w:lang w:eastAsia="en-GB"/>
        </w:rPr>
        <w:drawing>
          <wp:anchor distT="0" distB="0" distL="114300" distR="114300" simplePos="0" relativeHeight="251660288" behindDoc="0" locked="0" layoutInCell="1" allowOverlap="1" wp14:anchorId="5DC66E89" wp14:editId="208B6ACB">
            <wp:simplePos x="0" y="0"/>
            <wp:positionH relativeFrom="column">
              <wp:posOffset>459105</wp:posOffset>
            </wp:positionH>
            <wp:positionV relativeFrom="paragraph">
              <wp:posOffset>124460</wp:posOffset>
            </wp:positionV>
            <wp:extent cx="4572000" cy="2743200"/>
            <wp:effectExtent l="0" t="0" r="19050" b="1905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0666C" w:rsidRDefault="0070666C" w:rsidP="0070666C">
      <w:pPr>
        <w:tabs>
          <w:tab w:val="left" w:pos="709"/>
        </w:tabs>
        <w:spacing w:before="120" w:after="0"/>
        <w:ind w:firstLine="720"/>
      </w:pPr>
    </w:p>
    <w:p w:rsidR="0070666C" w:rsidRDefault="0070666C" w:rsidP="0070666C">
      <w:pPr>
        <w:tabs>
          <w:tab w:val="left" w:pos="709"/>
        </w:tabs>
        <w:spacing w:before="120" w:after="0"/>
        <w:ind w:firstLine="720"/>
      </w:pPr>
    </w:p>
    <w:p w:rsidR="0070666C" w:rsidRDefault="0070666C" w:rsidP="0070666C">
      <w:pPr>
        <w:tabs>
          <w:tab w:val="left" w:pos="709"/>
        </w:tabs>
        <w:spacing w:before="120" w:after="0"/>
        <w:ind w:firstLine="720"/>
      </w:pPr>
    </w:p>
    <w:p w:rsidR="007440C5" w:rsidRPr="007440C5" w:rsidRDefault="007440C5" w:rsidP="0070666C">
      <w:pPr>
        <w:tabs>
          <w:tab w:val="left" w:pos="709"/>
        </w:tabs>
        <w:spacing w:before="120" w:after="0"/>
        <w:ind w:firstLine="720"/>
        <w:rPr>
          <w:sz w:val="18"/>
        </w:rPr>
      </w:pPr>
      <w:r w:rsidRPr="007440C5">
        <w:rPr>
          <w:sz w:val="18"/>
        </w:rPr>
        <w:t>(</w:t>
      </w:r>
      <w:r w:rsidRPr="007440C5">
        <w:rPr>
          <w:i/>
          <w:sz w:val="18"/>
        </w:rPr>
        <w:t>Source: University of Bradford</w:t>
      </w:r>
      <w:r w:rsidRPr="007440C5">
        <w:rPr>
          <w:sz w:val="18"/>
        </w:rPr>
        <w:t>)</w:t>
      </w:r>
    </w:p>
    <w:p w:rsidR="007440C5" w:rsidRPr="007440C5" w:rsidRDefault="007440C5" w:rsidP="007440C5">
      <w:pPr>
        <w:spacing w:before="120" w:after="0"/>
        <w:ind w:left="709"/>
      </w:pPr>
      <w:r w:rsidRPr="007440C5">
        <w:t>Higher numbers stored up in the system from earlier years’ intakes create a residual growth effect for non-EU undergraduates and the total population until 2011/12, after which point the lag gives way to significant decline. On the question of residential demand, a disaggregation of the figures according to whether students were from addresses inside or outside West Yorkshire reveals a more acute decline among those needing to find housing  in Bradford/West Yorkshire. Since 2011/12, as Table 18 and Graph 4 show, there has been material movement in the balance of students from inside and outside West Yorkshire.</w:t>
      </w:r>
    </w:p>
    <w:p w:rsidR="007440C5" w:rsidRPr="007440C5" w:rsidRDefault="007440C5" w:rsidP="007440C5">
      <w:pPr>
        <w:rPr>
          <w:i/>
        </w:rPr>
      </w:pPr>
      <w:r w:rsidRPr="007440C5">
        <w:rPr>
          <w:i/>
        </w:rPr>
        <w:br w:type="page"/>
      </w:r>
    </w:p>
    <w:tbl>
      <w:tblPr>
        <w:tblStyle w:val="TableGrid"/>
        <w:tblpPr w:leftFromText="180" w:rightFromText="180" w:vertAnchor="page" w:horzAnchor="page" w:tblpX="2086" w:tblpY="2215"/>
        <w:tblW w:w="0" w:type="auto"/>
        <w:tblLook w:val="04A0" w:firstRow="1" w:lastRow="0" w:firstColumn="1" w:lastColumn="0" w:noHBand="0" w:noVBand="1"/>
      </w:tblPr>
      <w:tblGrid>
        <w:gridCol w:w="2235"/>
        <w:gridCol w:w="992"/>
        <w:gridCol w:w="992"/>
        <w:gridCol w:w="992"/>
        <w:gridCol w:w="993"/>
        <w:gridCol w:w="992"/>
      </w:tblGrid>
      <w:tr w:rsidR="007440C5" w:rsidRPr="007440C5" w:rsidTr="00565D91">
        <w:trPr>
          <w:trHeight w:val="300"/>
        </w:trPr>
        <w:tc>
          <w:tcPr>
            <w:tcW w:w="2235" w:type="dxa"/>
            <w:noWrap/>
            <w:hideMark/>
          </w:tcPr>
          <w:p w:rsidR="007440C5" w:rsidRPr="00565D91" w:rsidRDefault="007440C5" w:rsidP="007440C5">
            <w:pPr>
              <w:spacing w:before="120"/>
              <w:rPr>
                <w:sz w:val="20"/>
                <w:szCs w:val="20"/>
              </w:rPr>
            </w:pPr>
          </w:p>
        </w:tc>
        <w:tc>
          <w:tcPr>
            <w:tcW w:w="992" w:type="dxa"/>
            <w:noWrap/>
            <w:hideMark/>
          </w:tcPr>
          <w:p w:rsidR="007440C5" w:rsidRPr="00565D91" w:rsidRDefault="007440C5" w:rsidP="007440C5">
            <w:pPr>
              <w:spacing w:before="120"/>
              <w:rPr>
                <w:b/>
                <w:sz w:val="20"/>
                <w:szCs w:val="20"/>
              </w:rPr>
            </w:pPr>
            <w:r w:rsidRPr="00565D91">
              <w:rPr>
                <w:b/>
                <w:sz w:val="20"/>
                <w:szCs w:val="20"/>
              </w:rPr>
              <w:t>2009/10</w:t>
            </w:r>
          </w:p>
        </w:tc>
        <w:tc>
          <w:tcPr>
            <w:tcW w:w="992" w:type="dxa"/>
            <w:noWrap/>
            <w:hideMark/>
          </w:tcPr>
          <w:p w:rsidR="007440C5" w:rsidRPr="00565D91" w:rsidRDefault="007440C5" w:rsidP="007440C5">
            <w:pPr>
              <w:spacing w:before="120"/>
              <w:rPr>
                <w:b/>
                <w:sz w:val="20"/>
                <w:szCs w:val="20"/>
              </w:rPr>
            </w:pPr>
            <w:r w:rsidRPr="00565D91">
              <w:rPr>
                <w:b/>
                <w:sz w:val="20"/>
                <w:szCs w:val="20"/>
              </w:rPr>
              <w:t>2010/11</w:t>
            </w:r>
          </w:p>
        </w:tc>
        <w:tc>
          <w:tcPr>
            <w:tcW w:w="992" w:type="dxa"/>
            <w:noWrap/>
            <w:hideMark/>
          </w:tcPr>
          <w:p w:rsidR="007440C5" w:rsidRPr="00565D91" w:rsidRDefault="007440C5" w:rsidP="007440C5">
            <w:pPr>
              <w:spacing w:before="120"/>
              <w:rPr>
                <w:b/>
                <w:sz w:val="20"/>
                <w:szCs w:val="20"/>
              </w:rPr>
            </w:pPr>
            <w:r w:rsidRPr="00565D91">
              <w:rPr>
                <w:b/>
                <w:sz w:val="20"/>
                <w:szCs w:val="20"/>
              </w:rPr>
              <w:t>2011/12</w:t>
            </w:r>
          </w:p>
        </w:tc>
        <w:tc>
          <w:tcPr>
            <w:tcW w:w="993" w:type="dxa"/>
            <w:noWrap/>
            <w:hideMark/>
          </w:tcPr>
          <w:p w:rsidR="007440C5" w:rsidRPr="00565D91" w:rsidRDefault="007440C5" w:rsidP="007440C5">
            <w:pPr>
              <w:spacing w:before="120"/>
              <w:rPr>
                <w:b/>
                <w:sz w:val="20"/>
                <w:szCs w:val="20"/>
              </w:rPr>
            </w:pPr>
            <w:r w:rsidRPr="00565D91">
              <w:rPr>
                <w:b/>
                <w:sz w:val="20"/>
                <w:szCs w:val="20"/>
              </w:rPr>
              <w:t>2012/13</w:t>
            </w:r>
          </w:p>
        </w:tc>
        <w:tc>
          <w:tcPr>
            <w:tcW w:w="992" w:type="dxa"/>
            <w:noWrap/>
            <w:hideMark/>
          </w:tcPr>
          <w:p w:rsidR="007440C5" w:rsidRPr="00565D91" w:rsidRDefault="007440C5" w:rsidP="007440C5">
            <w:pPr>
              <w:spacing w:before="120"/>
              <w:rPr>
                <w:b/>
                <w:sz w:val="20"/>
                <w:szCs w:val="20"/>
              </w:rPr>
            </w:pPr>
            <w:r w:rsidRPr="00565D91">
              <w:rPr>
                <w:b/>
                <w:sz w:val="20"/>
                <w:szCs w:val="20"/>
              </w:rPr>
              <w:t>2013/14</w:t>
            </w:r>
          </w:p>
        </w:tc>
      </w:tr>
      <w:tr w:rsidR="007440C5" w:rsidRPr="007440C5" w:rsidTr="00565D91">
        <w:trPr>
          <w:trHeight w:val="300"/>
        </w:trPr>
        <w:tc>
          <w:tcPr>
            <w:tcW w:w="2235" w:type="dxa"/>
            <w:noWrap/>
            <w:hideMark/>
          </w:tcPr>
          <w:p w:rsidR="007440C5" w:rsidRPr="00565D91" w:rsidRDefault="007440C5" w:rsidP="007440C5">
            <w:pPr>
              <w:spacing w:before="120"/>
              <w:rPr>
                <w:b/>
                <w:sz w:val="20"/>
                <w:szCs w:val="20"/>
              </w:rPr>
            </w:pPr>
            <w:r w:rsidRPr="00565D91">
              <w:rPr>
                <w:b/>
                <w:sz w:val="20"/>
                <w:szCs w:val="20"/>
              </w:rPr>
              <w:t>West Yorkshire</w:t>
            </w:r>
          </w:p>
        </w:tc>
        <w:tc>
          <w:tcPr>
            <w:tcW w:w="992" w:type="dxa"/>
            <w:noWrap/>
            <w:hideMark/>
          </w:tcPr>
          <w:p w:rsidR="007440C5" w:rsidRPr="00565D91" w:rsidRDefault="007440C5" w:rsidP="007440C5">
            <w:pPr>
              <w:spacing w:before="120"/>
              <w:rPr>
                <w:sz w:val="20"/>
                <w:szCs w:val="20"/>
              </w:rPr>
            </w:pPr>
            <w:r w:rsidRPr="00565D91">
              <w:rPr>
                <w:sz w:val="20"/>
                <w:szCs w:val="20"/>
              </w:rPr>
              <w:t>4,817</w:t>
            </w:r>
          </w:p>
        </w:tc>
        <w:tc>
          <w:tcPr>
            <w:tcW w:w="992" w:type="dxa"/>
            <w:noWrap/>
            <w:hideMark/>
          </w:tcPr>
          <w:p w:rsidR="007440C5" w:rsidRPr="00565D91" w:rsidRDefault="007440C5" w:rsidP="007440C5">
            <w:pPr>
              <w:spacing w:before="120"/>
              <w:rPr>
                <w:sz w:val="20"/>
                <w:szCs w:val="20"/>
              </w:rPr>
            </w:pPr>
            <w:r w:rsidRPr="00565D91">
              <w:rPr>
                <w:sz w:val="20"/>
                <w:szCs w:val="20"/>
              </w:rPr>
              <w:t>4,891</w:t>
            </w:r>
          </w:p>
        </w:tc>
        <w:tc>
          <w:tcPr>
            <w:tcW w:w="992" w:type="dxa"/>
            <w:noWrap/>
            <w:hideMark/>
          </w:tcPr>
          <w:p w:rsidR="007440C5" w:rsidRPr="00565D91" w:rsidRDefault="007440C5" w:rsidP="007440C5">
            <w:pPr>
              <w:spacing w:before="120"/>
              <w:rPr>
                <w:sz w:val="20"/>
                <w:szCs w:val="20"/>
              </w:rPr>
            </w:pPr>
            <w:r w:rsidRPr="00565D91">
              <w:rPr>
                <w:sz w:val="20"/>
                <w:szCs w:val="20"/>
              </w:rPr>
              <w:t>5,177</w:t>
            </w:r>
          </w:p>
        </w:tc>
        <w:tc>
          <w:tcPr>
            <w:tcW w:w="993" w:type="dxa"/>
            <w:noWrap/>
            <w:hideMark/>
          </w:tcPr>
          <w:p w:rsidR="007440C5" w:rsidRPr="00565D91" w:rsidRDefault="007440C5" w:rsidP="007440C5">
            <w:pPr>
              <w:spacing w:before="120"/>
              <w:rPr>
                <w:sz w:val="20"/>
                <w:szCs w:val="20"/>
              </w:rPr>
            </w:pPr>
            <w:r w:rsidRPr="00565D91">
              <w:rPr>
                <w:sz w:val="20"/>
                <w:szCs w:val="20"/>
              </w:rPr>
              <w:t>5,043</w:t>
            </w:r>
          </w:p>
        </w:tc>
        <w:tc>
          <w:tcPr>
            <w:tcW w:w="992" w:type="dxa"/>
            <w:noWrap/>
            <w:hideMark/>
          </w:tcPr>
          <w:p w:rsidR="007440C5" w:rsidRPr="00565D91" w:rsidRDefault="007440C5" w:rsidP="007440C5">
            <w:pPr>
              <w:spacing w:before="120"/>
              <w:rPr>
                <w:sz w:val="20"/>
                <w:szCs w:val="20"/>
              </w:rPr>
            </w:pPr>
            <w:r w:rsidRPr="00565D91">
              <w:rPr>
                <w:sz w:val="20"/>
                <w:szCs w:val="20"/>
              </w:rPr>
              <w:t>4,993</w:t>
            </w:r>
          </w:p>
        </w:tc>
      </w:tr>
      <w:tr w:rsidR="007440C5" w:rsidRPr="007440C5" w:rsidTr="00565D91">
        <w:trPr>
          <w:trHeight w:val="300"/>
        </w:trPr>
        <w:tc>
          <w:tcPr>
            <w:tcW w:w="2235" w:type="dxa"/>
            <w:noWrap/>
            <w:hideMark/>
          </w:tcPr>
          <w:p w:rsidR="007440C5" w:rsidRPr="00565D91" w:rsidRDefault="007440C5" w:rsidP="007440C5">
            <w:pPr>
              <w:spacing w:before="120"/>
              <w:rPr>
                <w:b/>
                <w:sz w:val="20"/>
                <w:szCs w:val="20"/>
              </w:rPr>
            </w:pPr>
            <w:r w:rsidRPr="00565D91">
              <w:rPr>
                <w:b/>
                <w:sz w:val="20"/>
                <w:szCs w:val="20"/>
              </w:rPr>
              <w:t>Outside W</w:t>
            </w:r>
            <w:r w:rsidR="00565D91">
              <w:rPr>
                <w:b/>
                <w:sz w:val="20"/>
                <w:szCs w:val="20"/>
              </w:rPr>
              <w:t>est</w:t>
            </w:r>
            <w:r w:rsidRPr="00565D91">
              <w:rPr>
                <w:b/>
                <w:sz w:val="20"/>
                <w:szCs w:val="20"/>
              </w:rPr>
              <w:t xml:space="preserve"> Yorkshire</w:t>
            </w:r>
          </w:p>
        </w:tc>
        <w:tc>
          <w:tcPr>
            <w:tcW w:w="992" w:type="dxa"/>
            <w:noWrap/>
            <w:hideMark/>
          </w:tcPr>
          <w:p w:rsidR="007440C5" w:rsidRPr="00565D91" w:rsidRDefault="007440C5" w:rsidP="007440C5">
            <w:pPr>
              <w:spacing w:before="120"/>
              <w:rPr>
                <w:sz w:val="20"/>
                <w:szCs w:val="20"/>
              </w:rPr>
            </w:pPr>
            <w:r w:rsidRPr="00565D91">
              <w:rPr>
                <w:sz w:val="20"/>
                <w:szCs w:val="20"/>
              </w:rPr>
              <w:t>5,026</w:t>
            </w:r>
          </w:p>
        </w:tc>
        <w:tc>
          <w:tcPr>
            <w:tcW w:w="992" w:type="dxa"/>
            <w:noWrap/>
            <w:hideMark/>
          </w:tcPr>
          <w:p w:rsidR="007440C5" w:rsidRPr="00565D91" w:rsidRDefault="007440C5" w:rsidP="007440C5">
            <w:pPr>
              <w:spacing w:before="120"/>
              <w:rPr>
                <w:sz w:val="20"/>
                <w:szCs w:val="20"/>
              </w:rPr>
            </w:pPr>
            <w:r w:rsidRPr="00565D91">
              <w:rPr>
                <w:sz w:val="20"/>
                <w:szCs w:val="20"/>
              </w:rPr>
              <w:t>5,224</w:t>
            </w:r>
          </w:p>
        </w:tc>
        <w:tc>
          <w:tcPr>
            <w:tcW w:w="992" w:type="dxa"/>
            <w:noWrap/>
            <w:hideMark/>
          </w:tcPr>
          <w:p w:rsidR="007440C5" w:rsidRPr="00565D91" w:rsidRDefault="007440C5" w:rsidP="007440C5">
            <w:pPr>
              <w:spacing w:before="120"/>
              <w:rPr>
                <w:sz w:val="20"/>
                <w:szCs w:val="20"/>
              </w:rPr>
            </w:pPr>
            <w:r w:rsidRPr="00565D91">
              <w:rPr>
                <w:sz w:val="20"/>
                <w:szCs w:val="20"/>
              </w:rPr>
              <w:t>5,497</w:t>
            </w:r>
          </w:p>
        </w:tc>
        <w:tc>
          <w:tcPr>
            <w:tcW w:w="993" w:type="dxa"/>
            <w:noWrap/>
            <w:hideMark/>
          </w:tcPr>
          <w:p w:rsidR="007440C5" w:rsidRPr="00565D91" w:rsidRDefault="007440C5" w:rsidP="007440C5">
            <w:pPr>
              <w:spacing w:before="120"/>
              <w:rPr>
                <w:sz w:val="20"/>
                <w:szCs w:val="20"/>
              </w:rPr>
            </w:pPr>
            <w:r w:rsidRPr="00565D91">
              <w:rPr>
                <w:sz w:val="20"/>
                <w:szCs w:val="20"/>
              </w:rPr>
              <w:t>5,102</w:t>
            </w:r>
          </w:p>
        </w:tc>
        <w:tc>
          <w:tcPr>
            <w:tcW w:w="992" w:type="dxa"/>
            <w:noWrap/>
            <w:hideMark/>
          </w:tcPr>
          <w:p w:rsidR="007440C5" w:rsidRPr="00565D91" w:rsidRDefault="007440C5" w:rsidP="007440C5">
            <w:pPr>
              <w:spacing w:before="120"/>
              <w:rPr>
                <w:sz w:val="20"/>
                <w:szCs w:val="20"/>
              </w:rPr>
            </w:pPr>
            <w:r w:rsidRPr="00565D91">
              <w:rPr>
                <w:sz w:val="20"/>
                <w:szCs w:val="20"/>
              </w:rPr>
              <w:t>4,773</w:t>
            </w:r>
          </w:p>
        </w:tc>
      </w:tr>
    </w:tbl>
    <w:p w:rsidR="007440C5" w:rsidRPr="007440C5" w:rsidRDefault="00E516FF" w:rsidP="00565D91">
      <w:pPr>
        <w:tabs>
          <w:tab w:val="left" w:pos="1701"/>
        </w:tabs>
        <w:spacing w:before="120" w:after="0"/>
        <w:ind w:left="709"/>
        <w:rPr>
          <w:i/>
        </w:rPr>
      </w:pPr>
      <w:r>
        <w:rPr>
          <w:i/>
        </w:rPr>
        <w:t>Table 18:</w:t>
      </w:r>
      <w:r>
        <w:rPr>
          <w:i/>
        </w:rPr>
        <w:tab/>
      </w:r>
      <w:r w:rsidR="007440C5" w:rsidRPr="007440C5">
        <w:rPr>
          <w:i/>
        </w:rPr>
        <w:t xml:space="preserve">University of Bradford: full-time student populations 2009/10 – 2013/14: residence by </w:t>
      </w:r>
      <w:r>
        <w:rPr>
          <w:i/>
        </w:rPr>
        <w:tab/>
      </w:r>
      <w:r w:rsidR="007440C5" w:rsidRPr="007440C5">
        <w:rPr>
          <w:i/>
        </w:rPr>
        <w:t>West Yorkshire and non-West Yorkshire base</w:t>
      </w:r>
    </w:p>
    <w:p w:rsidR="007440C5" w:rsidRPr="007440C5" w:rsidRDefault="007440C5" w:rsidP="007440C5">
      <w:pPr>
        <w:spacing w:before="120" w:after="0"/>
        <w:ind w:left="720"/>
        <w:rPr>
          <w:i/>
        </w:rPr>
      </w:pPr>
    </w:p>
    <w:p w:rsidR="007440C5" w:rsidRPr="007440C5" w:rsidRDefault="007440C5" w:rsidP="007440C5">
      <w:pPr>
        <w:spacing w:before="120" w:after="0"/>
        <w:ind w:left="720"/>
        <w:rPr>
          <w:i/>
        </w:rPr>
      </w:pPr>
    </w:p>
    <w:p w:rsidR="007440C5" w:rsidRPr="007440C5" w:rsidRDefault="007440C5" w:rsidP="007440C5">
      <w:pPr>
        <w:spacing w:before="120" w:after="0"/>
        <w:ind w:left="720"/>
        <w:rPr>
          <w:i/>
        </w:rPr>
      </w:pPr>
    </w:p>
    <w:p w:rsidR="007440C5" w:rsidRPr="007440C5" w:rsidRDefault="007440C5" w:rsidP="007440C5">
      <w:pPr>
        <w:spacing w:before="120" w:after="0"/>
        <w:rPr>
          <w:u w:val="single"/>
        </w:rPr>
      </w:pPr>
    </w:p>
    <w:p w:rsidR="007440C5" w:rsidRPr="007440C5" w:rsidRDefault="007440C5" w:rsidP="00E516FF">
      <w:pPr>
        <w:spacing w:after="0"/>
        <w:rPr>
          <w:u w:val="single"/>
        </w:rPr>
      </w:pPr>
    </w:p>
    <w:p w:rsidR="007440C5" w:rsidRPr="007440C5" w:rsidRDefault="007440C5" w:rsidP="00E516FF">
      <w:pPr>
        <w:tabs>
          <w:tab w:val="left" w:pos="1701"/>
        </w:tabs>
        <w:spacing w:after="0"/>
        <w:ind w:left="709"/>
        <w:rPr>
          <w:u w:val="single"/>
        </w:rPr>
      </w:pPr>
      <w:proofErr w:type="gramStart"/>
      <w:r w:rsidRPr="007440C5">
        <w:rPr>
          <w:i/>
        </w:rPr>
        <w:t>Graph  4</w:t>
      </w:r>
      <w:proofErr w:type="gramEnd"/>
      <w:r w:rsidRPr="007440C5">
        <w:rPr>
          <w:i/>
        </w:rPr>
        <w:t xml:space="preserve">: </w:t>
      </w:r>
      <w:r w:rsidR="00E516FF">
        <w:rPr>
          <w:i/>
        </w:rPr>
        <w:tab/>
      </w:r>
      <w:r w:rsidRPr="007440C5">
        <w:rPr>
          <w:i/>
        </w:rPr>
        <w:t xml:space="preserve">University of Bradford: full-time student populations 2009/10 – 2013/14: residence by </w:t>
      </w:r>
      <w:r w:rsidR="00E516FF">
        <w:rPr>
          <w:i/>
        </w:rPr>
        <w:tab/>
      </w:r>
      <w:r w:rsidRPr="007440C5">
        <w:rPr>
          <w:i/>
        </w:rPr>
        <w:t>West Yorkshire and non-West Yorkshire base</w:t>
      </w:r>
    </w:p>
    <w:p w:rsidR="007440C5" w:rsidRPr="007440C5" w:rsidRDefault="007440C5" w:rsidP="007440C5">
      <w:pPr>
        <w:spacing w:before="120" w:after="0"/>
      </w:pPr>
      <w:r w:rsidRPr="007440C5">
        <w:rPr>
          <w:noProof/>
          <w:lang w:eastAsia="en-GB"/>
        </w:rPr>
        <w:drawing>
          <wp:anchor distT="0" distB="0" distL="114300" distR="114300" simplePos="0" relativeHeight="251661312" behindDoc="0" locked="0" layoutInCell="1" allowOverlap="1" wp14:anchorId="651A7E26" wp14:editId="44665205">
            <wp:simplePos x="0" y="0"/>
            <wp:positionH relativeFrom="column">
              <wp:posOffset>440055</wp:posOffset>
            </wp:positionH>
            <wp:positionV relativeFrom="paragraph">
              <wp:posOffset>146685</wp:posOffset>
            </wp:positionV>
            <wp:extent cx="4514850" cy="2276475"/>
            <wp:effectExtent l="0" t="0" r="19050"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ind w:firstLine="720"/>
        <w:rPr>
          <w:sz w:val="18"/>
        </w:rPr>
      </w:pPr>
    </w:p>
    <w:p w:rsidR="007440C5" w:rsidRPr="007440C5" w:rsidRDefault="007440C5" w:rsidP="007440C5">
      <w:pPr>
        <w:spacing w:before="120" w:after="0"/>
        <w:ind w:firstLine="720"/>
        <w:rPr>
          <w:sz w:val="18"/>
        </w:rPr>
      </w:pPr>
    </w:p>
    <w:p w:rsidR="007440C5" w:rsidRPr="007440C5" w:rsidRDefault="007440C5" w:rsidP="007440C5">
      <w:pPr>
        <w:spacing w:before="120" w:after="0"/>
        <w:ind w:firstLine="720"/>
        <w:rPr>
          <w:sz w:val="18"/>
        </w:rPr>
      </w:pPr>
    </w:p>
    <w:p w:rsidR="007440C5" w:rsidRPr="007440C5" w:rsidRDefault="007440C5" w:rsidP="007440C5">
      <w:pPr>
        <w:spacing w:before="120" w:after="0"/>
        <w:ind w:firstLine="720"/>
        <w:rPr>
          <w:sz w:val="18"/>
        </w:rPr>
      </w:pPr>
    </w:p>
    <w:p w:rsidR="007440C5" w:rsidRPr="007440C5" w:rsidRDefault="007440C5" w:rsidP="007440C5">
      <w:pPr>
        <w:spacing w:before="120" w:after="0"/>
        <w:ind w:firstLine="720"/>
        <w:rPr>
          <w:sz w:val="18"/>
        </w:rPr>
      </w:pPr>
    </w:p>
    <w:p w:rsidR="0004350F" w:rsidRDefault="0004350F" w:rsidP="007440C5">
      <w:pPr>
        <w:spacing w:before="120" w:after="0"/>
        <w:ind w:firstLine="720"/>
        <w:rPr>
          <w:sz w:val="18"/>
        </w:rPr>
      </w:pPr>
    </w:p>
    <w:p w:rsidR="0004350F" w:rsidRDefault="0004350F" w:rsidP="007440C5">
      <w:pPr>
        <w:spacing w:before="120" w:after="0"/>
        <w:ind w:firstLine="720"/>
        <w:rPr>
          <w:sz w:val="18"/>
        </w:rPr>
      </w:pPr>
    </w:p>
    <w:p w:rsidR="007440C5" w:rsidRPr="007440C5" w:rsidRDefault="007440C5" w:rsidP="007440C5">
      <w:pPr>
        <w:spacing w:before="120" w:after="0"/>
        <w:ind w:firstLine="720"/>
        <w:rPr>
          <w:sz w:val="18"/>
        </w:rPr>
      </w:pPr>
      <w:r w:rsidRPr="007440C5">
        <w:rPr>
          <w:sz w:val="18"/>
        </w:rPr>
        <w:t>(</w:t>
      </w:r>
      <w:r w:rsidRPr="007440C5">
        <w:rPr>
          <w:i/>
          <w:sz w:val="18"/>
        </w:rPr>
        <w:t>Source: University of Bradford</w:t>
      </w:r>
      <w:r w:rsidRPr="007440C5">
        <w:rPr>
          <w:sz w:val="18"/>
        </w:rPr>
        <w:t>)</w:t>
      </w:r>
    </w:p>
    <w:p w:rsidR="007440C5" w:rsidRPr="007440C5" w:rsidRDefault="007440C5" w:rsidP="007440C5">
      <w:pPr>
        <w:spacing w:before="120" w:after="0"/>
        <w:ind w:left="720"/>
      </w:pPr>
      <w:r w:rsidRPr="007440C5">
        <w:t>This divide gives a broad indication of students with and without a residential need (although demand for accommodation will be slightly lower as there will be an element of full-time students choosing to commute to their studies from outside the county).</w:t>
      </w:r>
    </w:p>
    <w:p w:rsidR="007440C5" w:rsidRPr="007440C5" w:rsidRDefault="007440C5" w:rsidP="007440C5">
      <w:pPr>
        <w:spacing w:before="120" w:after="0"/>
        <w:ind w:left="720"/>
      </w:pPr>
      <w:r w:rsidRPr="007440C5">
        <w:t>Table 18 and Graph 4 show two important things:</w:t>
      </w:r>
    </w:p>
    <w:p w:rsidR="007440C5" w:rsidRPr="007440C5" w:rsidRDefault="007440C5" w:rsidP="0083731B">
      <w:pPr>
        <w:numPr>
          <w:ilvl w:val="0"/>
          <w:numId w:val="20"/>
        </w:numPr>
        <w:spacing w:before="120" w:after="0"/>
        <w:ind w:left="993" w:hanging="273"/>
        <w:contextualSpacing/>
      </w:pPr>
      <w:r w:rsidRPr="007440C5">
        <w:t>Student residential demand is low and the market consequently small</w:t>
      </w:r>
    </w:p>
    <w:p w:rsidR="007440C5" w:rsidRPr="007440C5" w:rsidRDefault="007440C5" w:rsidP="0083731B">
      <w:pPr>
        <w:numPr>
          <w:ilvl w:val="0"/>
          <w:numId w:val="20"/>
        </w:numPr>
        <w:spacing w:before="120" w:after="0"/>
        <w:ind w:left="993" w:hanging="273"/>
        <w:contextualSpacing/>
      </w:pPr>
      <w:r w:rsidRPr="007440C5">
        <w:t xml:space="preserve">Demand for accommodation has dropped by 13.2 per cent since 2011/12. This represents a substantially compounded fall in the key constituency for the purposes of this study, </w:t>
      </w:r>
      <w:proofErr w:type="spellStart"/>
      <w:r w:rsidRPr="007440C5">
        <w:t>ie</w:t>
      </w:r>
      <w:proofErr w:type="spellEnd"/>
      <w:r w:rsidRPr="007440C5">
        <w:t xml:space="preserve"> student demand for local accommodation. (Section </w:t>
      </w:r>
      <w:r w:rsidR="0004350F">
        <w:t>4</w:t>
      </w:r>
      <w:r w:rsidRPr="007440C5">
        <w:t xml:space="preserve"> provides more detail on attendance trends and address locations.) </w:t>
      </w:r>
    </w:p>
    <w:p w:rsidR="007440C5" w:rsidRPr="007440C5" w:rsidRDefault="007440C5" w:rsidP="007440C5">
      <w:pPr>
        <w:spacing w:before="120" w:after="0"/>
        <w:ind w:left="720"/>
      </w:pPr>
      <w:r w:rsidRPr="007440C5">
        <w:t>What is not available from the University is data on how their projected full-time student numbers are anticipated to disaggregate to West Yorkshire residents and others, although our reading of the headlines available on the University’s new strategic plan gives some pointers on which way this is likely to go (see below).</w:t>
      </w:r>
    </w:p>
    <w:p w:rsidR="007440C5" w:rsidRPr="007440C5" w:rsidRDefault="007440C5" w:rsidP="007440C5">
      <w:pPr>
        <w:spacing w:before="120" w:after="0"/>
        <w:ind w:left="709"/>
      </w:pPr>
      <w:r w:rsidRPr="007440C5">
        <w:t xml:space="preserve">Looking to the future, for most categories the University is planning for further marginal contraction in 2014/15. Beyond this, the planned student </w:t>
      </w:r>
      <w:r w:rsidR="0004350F">
        <w:t>intakes</w:t>
      </w:r>
      <w:r w:rsidRPr="007440C5">
        <w:t xml:space="preserve"> show incremental gains in volume for all categories. In an intensifying, more laissez-faire market, whether the University can meet these growth targets will depend on whether it has got its new strategy right. </w:t>
      </w:r>
    </w:p>
    <w:p w:rsidR="007440C5" w:rsidRPr="007440C5" w:rsidRDefault="007440C5" w:rsidP="007440C5">
      <w:pPr>
        <w:rPr>
          <w:i/>
        </w:rPr>
      </w:pPr>
      <w:r w:rsidRPr="007440C5">
        <w:rPr>
          <w:i/>
        </w:rPr>
        <w:br w:type="page"/>
      </w:r>
    </w:p>
    <w:tbl>
      <w:tblPr>
        <w:tblStyle w:val="TableGrid"/>
        <w:tblpPr w:leftFromText="180" w:rightFromText="180" w:vertAnchor="page" w:horzAnchor="page" w:tblpX="2086" w:tblpY="1675"/>
        <w:tblW w:w="0" w:type="auto"/>
        <w:tblLook w:val="04A0" w:firstRow="1" w:lastRow="0" w:firstColumn="1" w:lastColumn="0" w:noHBand="0" w:noVBand="1"/>
      </w:tblPr>
      <w:tblGrid>
        <w:gridCol w:w="1384"/>
        <w:gridCol w:w="1134"/>
        <w:gridCol w:w="1134"/>
        <w:gridCol w:w="1276"/>
        <w:gridCol w:w="1134"/>
        <w:gridCol w:w="1134"/>
      </w:tblGrid>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b/>
                <w:sz w:val="20"/>
                <w:szCs w:val="20"/>
              </w:rPr>
            </w:pPr>
          </w:p>
        </w:tc>
        <w:tc>
          <w:tcPr>
            <w:tcW w:w="1134" w:type="dxa"/>
            <w:shd w:val="clear" w:color="auto" w:fill="FFFFFF" w:themeFill="background1"/>
            <w:noWrap/>
          </w:tcPr>
          <w:p w:rsidR="007440C5" w:rsidRPr="007440C5" w:rsidRDefault="007440C5" w:rsidP="007440C5">
            <w:pPr>
              <w:spacing w:before="120"/>
              <w:rPr>
                <w:b/>
                <w:sz w:val="20"/>
                <w:szCs w:val="20"/>
              </w:rPr>
            </w:pPr>
            <w:r w:rsidRPr="007440C5">
              <w:rPr>
                <w:b/>
                <w:sz w:val="20"/>
                <w:szCs w:val="20"/>
              </w:rPr>
              <w:t>2014/15</w:t>
            </w:r>
          </w:p>
        </w:tc>
        <w:tc>
          <w:tcPr>
            <w:tcW w:w="1134" w:type="dxa"/>
            <w:shd w:val="clear" w:color="auto" w:fill="FFFFFF" w:themeFill="background1"/>
            <w:noWrap/>
          </w:tcPr>
          <w:p w:rsidR="007440C5" w:rsidRPr="007440C5" w:rsidRDefault="007440C5" w:rsidP="007440C5">
            <w:pPr>
              <w:spacing w:before="120"/>
              <w:rPr>
                <w:b/>
                <w:sz w:val="20"/>
                <w:szCs w:val="20"/>
              </w:rPr>
            </w:pPr>
            <w:r w:rsidRPr="007440C5">
              <w:rPr>
                <w:b/>
                <w:sz w:val="20"/>
                <w:szCs w:val="20"/>
              </w:rPr>
              <w:t>2015/16</w:t>
            </w:r>
          </w:p>
        </w:tc>
        <w:tc>
          <w:tcPr>
            <w:tcW w:w="1276" w:type="dxa"/>
            <w:shd w:val="clear" w:color="auto" w:fill="FFFFFF" w:themeFill="background1"/>
            <w:noWrap/>
          </w:tcPr>
          <w:p w:rsidR="007440C5" w:rsidRPr="007440C5" w:rsidRDefault="007440C5" w:rsidP="007440C5">
            <w:pPr>
              <w:spacing w:before="120"/>
              <w:rPr>
                <w:b/>
                <w:sz w:val="20"/>
                <w:szCs w:val="20"/>
              </w:rPr>
            </w:pPr>
            <w:r w:rsidRPr="007440C5">
              <w:rPr>
                <w:b/>
                <w:sz w:val="20"/>
                <w:szCs w:val="20"/>
              </w:rPr>
              <w:t>2016/17</w:t>
            </w:r>
          </w:p>
        </w:tc>
        <w:tc>
          <w:tcPr>
            <w:tcW w:w="1134" w:type="dxa"/>
            <w:shd w:val="clear" w:color="auto" w:fill="FFFFFF" w:themeFill="background1"/>
            <w:noWrap/>
          </w:tcPr>
          <w:p w:rsidR="007440C5" w:rsidRPr="007440C5" w:rsidRDefault="007440C5" w:rsidP="007440C5">
            <w:pPr>
              <w:spacing w:before="120"/>
              <w:rPr>
                <w:b/>
                <w:sz w:val="20"/>
                <w:szCs w:val="20"/>
              </w:rPr>
            </w:pPr>
            <w:r w:rsidRPr="007440C5">
              <w:rPr>
                <w:b/>
                <w:sz w:val="20"/>
                <w:szCs w:val="20"/>
              </w:rPr>
              <w:t>2017/18</w:t>
            </w:r>
          </w:p>
        </w:tc>
        <w:tc>
          <w:tcPr>
            <w:tcW w:w="1134" w:type="dxa"/>
            <w:shd w:val="clear" w:color="auto" w:fill="FFFFFF" w:themeFill="background1"/>
            <w:noWrap/>
          </w:tcPr>
          <w:p w:rsidR="007440C5" w:rsidRPr="007440C5" w:rsidRDefault="007440C5" w:rsidP="007440C5">
            <w:pPr>
              <w:spacing w:before="120"/>
              <w:rPr>
                <w:b/>
                <w:sz w:val="20"/>
                <w:szCs w:val="20"/>
              </w:rPr>
            </w:pPr>
            <w:r w:rsidRPr="007440C5">
              <w:rPr>
                <w:b/>
                <w:sz w:val="20"/>
                <w:szCs w:val="20"/>
              </w:rPr>
              <w:t>2018/19</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Home UG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2,302</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2,349</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2,396</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2443</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2490</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Non-EU UG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388</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428</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468</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508</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548</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Other EU UG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151</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154</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157</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160</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163</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b/>
                <w:bCs/>
                <w:sz w:val="20"/>
                <w:szCs w:val="20"/>
              </w:rPr>
            </w:pPr>
            <w:r w:rsidRPr="007440C5">
              <w:rPr>
                <w:b/>
                <w:bCs/>
                <w:sz w:val="20"/>
                <w:szCs w:val="20"/>
              </w:rPr>
              <w:t>UG total</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2,841</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2,931</w:t>
            </w:r>
          </w:p>
        </w:tc>
        <w:tc>
          <w:tcPr>
            <w:tcW w:w="1276"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3,021</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3111</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3201</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Home PG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204</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227</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249</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272</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294</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Non-EU PG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484</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525</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565</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606</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648</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sz w:val="20"/>
                <w:szCs w:val="20"/>
              </w:rPr>
            </w:pPr>
            <w:r w:rsidRPr="007440C5">
              <w:rPr>
                <w:sz w:val="20"/>
                <w:szCs w:val="20"/>
              </w:rPr>
              <w:t>Other EU PG</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77</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85</w:t>
            </w:r>
          </w:p>
        </w:tc>
        <w:tc>
          <w:tcPr>
            <w:tcW w:w="1276"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94</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102</w:t>
            </w:r>
          </w:p>
        </w:tc>
        <w:tc>
          <w:tcPr>
            <w:tcW w:w="1134" w:type="dxa"/>
            <w:shd w:val="clear" w:color="auto" w:fill="FFFFFF" w:themeFill="background1"/>
            <w:noWrap/>
            <w:hideMark/>
          </w:tcPr>
          <w:p w:rsidR="007440C5" w:rsidRPr="007440C5" w:rsidRDefault="007440C5" w:rsidP="007440C5">
            <w:pPr>
              <w:spacing w:before="120"/>
              <w:rPr>
                <w:sz w:val="20"/>
                <w:szCs w:val="20"/>
              </w:rPr>
            </w:pPr>
            <w:r w:rsidRPr="007440C5">
              <w:rPr>
                <w:sz w:val="20"/>
                <w:szCs w:val="20"/>
              </w:rPr>
              <w:t>111</w:t>
            </w:r>
          </w:p>
        </w:tc>
      </w:tr>
      <w:tr w:rsidR="007440C5" w:rsidRPr="007440C5" w:rsidTr="00BB288F">
        <w:trPr>
          <w:trHeight w:val="300"/>
        </w:trPr>
        <w:tc>
          <w:tcPr>
            <w:tcW w:w="1384" w:type="dxa"/>
            <w:shd w:val="clear" w:color="auto" w:fill="FFFFFF" w:themeFill="background1"/>
          </w:tcPr>
          <w:p w:rsidR="007440C5" w:rsidRPr="007440C5" w:rsidRDefault="007440C5" w:rsidP="007440C5">
            <w:pPr>
              <w:spacing w:before="120"/>
              <w:rPr>
                <w:b/>
                <w:bCs/>
                <w:sz w:val="20"/>
                <w:szCs w:val="20"/>
              </w:rPr>
            </w:pPr>
            <w:r w:rsidRPr="007440C5">
              <w:rPr>
                <w:b/>
                <w:bCs/>
                <w:sz w:val="20"/>
                <w:szCs w:val="20"/>
              </w:rPr>
              <w:t>PG total</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765</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837</w:t>
            </w:r>
          </w:p>
        </w:tc>
        <w:tc>
          <w:tcPr>
            <w:tcW w:w="1276"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908</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980</w:t>
            </w:r>
          </w:p>
        </w:tc>
        <w:tc>
          <w:tcPr>
            <w:tcW w:w="1134" w:type="dxa"/>
            <w:shd w:val="clear" w:color="auto" w:fill="FFFFFF" w:themeFill="background1"/>
            <w:noWrap/>
            <w:hideMark/>
          </w:tcPr>
          <w:p w:rsidR="007440C5" w:rsidRPr="007440C5" w:rsidRDefault="007440C5" w:rsidP="007440C5">
            <w:pPr>
              <w:spacing w:before="120"/>
              <w:rPr>
                <w:b/>
                <w:bCs/>
                <w:sz w:val="20"/>
                <w:szCs w:val="20"/>
              </w:rPr>
            </w:pPr>
            <w:r w:rsidRPr="007440C5">
              <w:rPr>
                <w:b/>
                <w:bCs/>
                <w:sz w:val="20"/>
                <w:szCs w:val="20"/>
              </w:rPr>
              <w:t>1053</w:t>
            </w:r>
          </w:p>
        </w:tc>
      </w:tr>
      <w:tr w:rsidR="007440C5" w:rsidRPr="007440C5" w:rsidTr="00BB288F">
        <w:trPr>
          <w:trHeight w:val="315"/>
        </w:trPr>
        <w:tc>
          <w:tcPr>
            <w:tcW w:w="1384" w:type="dxa"/>
            <w:shd w:val="clear" w:color="auto" w:fill="FFFFFF" w:themeFill="background1"/>
          </w:tcPr>
          <w:p w:rsidR="007440C5" w:rsidRPr="007440C5" w:rsidRDefault="007440C5" w:rsidP="007440C5">
            <w:pPr>
              <w:spacing w:before="120"/>
              <w:rPr>
                <w:b/>
                <w:bCs/>
              </w:rPr>
            </w:pPr>
            <w:r w:rsidRPr="007440C5">
              <w:rPr>
                <w:b/>
                <w:bCs/>
              </w:rPr>
              <w:t>TOTAL</w:t>
            </w:r>
          </w:p>
        </w:tc>
        <w:tc>
          <w:tcPr>
            <w:tcW w:w="1134" w:type="dxa"/>
            <w:shd w:val="clear" w:color="auto" w:fill="FFFFFF" w:themeFill="background1"/>
            <w:noWrap/>
            <w:hideMark/>
          </w:tcPr>
          <w:p w:rsidR="007440C5" w:rsidRPr="007440C5" w:rsidRDefault="007440C5" w:rsidP="007440C5">
            <w:pPr>
              <w:spacing w:before="120"/>
              <w:rPr>
                <w:b/>
                <w:bCs/>
              </w:rPr>
            </w:pPr>
            <w:r w:rsidRPr="007440C5">
              <w:rPr>
                <w:b/>
                <w:bCs/>
              </w:rPr>
              <w:t>3,606</w:t>
            </w:r>
          </w:p>
        </w:tc>
        <w:tc>
          <w:tcPr>
            <w:tcW w:w="1134" w:type="dxa"/>
            <w:shd w:val="clear" w:color="auto" w:fill="FFFFFF" w:themeFill="background1"/>
            <w:noWrap/>
            <w:hideMark/>
          </w:tcPr>
          <w:p w:rsidR="007440C5" w:rsidRPr="007440C5" w:rsidRDefault="007440C5" w:rsidP="007440C5">
            <w:pPr>
              <w:spacing w:before="120"/>
              <w:rPr>
                <w:b/>
                <w:bCs/>
              </w:rPr>
            </w:pPr>
            <w:r w:rsidRPr="007440C5">
              <w:rPr>
                <w:b/>
                <w:bCs/>
              </w:rPr>
              <w:t>3,768</w:t>
            </w:r>
          </w:p>
        </w:tc>
        <w:tc>
          <w:tcPr>
            <w:tcW w:w="1276" w:type="dxa"/>
            <w:shd w:val="clear" w:color="auto" w:fill="FFFFFF" w:themeFill="background1"/>
            <w:noWrap/>
            <w:hideMark/>
          </w:tcPr>
          <w:p w:rsidR="007440C5" w:rsidRPr="007440C5" w:rsidRDefault="007440C5" w:rsidP="007440C5">
            <w:pPr>
              <w:spacing w:before="120"/>
              <w:rPr>
                <w:b/>
                <w:bCs/>
              </w:rPr>
            </w:pPr>
            <w:r w:rsidRPr="007440C5">
              <w:rPr>
                <w:b/>
                <w:bCs/>
              </w:rPr>
              <w:t>3,929</w:t>
            </w:r>
          </w:p>
        </w:tc>
        <w:tc>
          <w:tcPr>
            <w:tcW w:w="1134" w:type="dxa"/>
            <w:shd w:val="clear" w:color="auto" w:fill="FFFFFF" w:themeFill="background1"/>
            <w:noWrap/>
            <w:hideMark/>
          </w:tcPr>
          <w:p w:rsidR="007440C5" w:rsidRPr="007440C5" w:rsidRDefault="007440C5" w:rsidP="007440C5">
            <w:pPr>
              <w:spacing w:before="120"/>
              <w:rPr>
                <w:b/>
                <w:bCs/>
              </w:rPr>
            </w:pPr>
            <w:r w:rsidRPr="007440C5">
              <w:rPr>
                <w:b/>
                <w:bCs/>
              </w:rPr>
              <w:t>4,091</w:t>
            </w:r>
          </w:p>
        </w:tc>
        <w:tc>
          <w:tcPr>
            <w:tcW w:w="1134" w:type="dxa"/>
            <w:shd w:val="clear" w:color="auto" w:fill="FFFFFF" w:themeFill="background1"/>
            <w:noWrap/>
            <w:hideMark/>
          </w:tcPr>
          <w:p w:rsidR="007440C5" w:rsidRPr="007440C5" w:rsidRDefault="007440C5" w:rsidP="007440C5">
            <w:pPr>
              <w:spacing w:before="120"/>
              <w:rPr>
                <w:b/>
                <w:bCs/>
              </w:rPr>
            </w:pPr>
            <w:r w:rsidRPr="007440C5">
              <w:rPr>
                <w:b/>
                <w:bCs/>
              </w:rPr>
              <w:t>4,254</w:t>
            </w:r>
          </w:p>
        </w:tc>
      </w:tr>
    </w:tbl>
    <w:p w:rsidR="007440C5" w:rsidRPr="007440C5" w:rsidRDefault="007440C5" w:rsidP="0083731B">
      <w:pPr>
        <w:tabs>
          <w:tab w:val="left" w:pos="1701"/>
        </w:tabs>
        <w:spacing w:before="120" w:after="0"/>
        <w:ind w:firstLine="720"/>
        <w:rPr>
          <w:i/>
        </w:rPr>
      </w:pPr>
      <w:r w:rsidRPr="007440C5">
        <w:rPr>
          <w:i/>
        </w:rPr>
        <w:t xml:space="preserve">Table 19: </w:t>
      </w:r>
      <w:r w:rsidR="0083731B">
        <w:rPr>
          <w:i/>
        </w:rPr>
        <w:tab/>
      </w:r>
      <w:r w:rsidRPr="007440C5">
        <w:rPr>
          <w:i/>
        </w:rPr>
        <w:t>University of Bradford: projected full-time student intakes 2014/15 – 2018/19</w:t>
      </w:r>
    </w:p>
    <w:p w:rsidR="007440C5" w:rsidRPr="007440C5" w:rsidRDefault="007440C5" w:rsidP="007440C5">
      <w:pPr>
        <w:spacing w:before="120" w:after="0"/>
      </w:pPr>
    </w:p>
    <w:p w:rsidR="007440C5" w:rsidRPr="007440C5" w:rsidRDefault="007440C5" w:rsidP="007440C5">
      <w:pPr>
        <w:spacing w:before="120" w:after="0"/>
        <w:ind w:left="720"/>
      </w:pPr>
    </w:p>
    <w:p w:rsidR="007440C5" w:rsidRPr="007440C5" w:rsidRDefault="007440C5" w:rsidP="007440C5">
      <w:pPr>
        <w:spacing w:before="120" w:after="0"/>
        <w:ind w:left="720"/>
      </w:pPr>
    </w:p>
    <w:p w:rsidR="007440C5" w:rsidRPr="007440C5" w:rsidRDefault="007440C5" w:rsidP="007440C5">
      <w:pPr>
        <w:spacing w:before="120" w:after="0"/>
        <w:ind w:left="720"/>
      </w:pPr>
    </w:p>
    <w:p w:rsidR="007440C5" w:rsidRPr="007440C5" w:rsidRDefault="007440C5" w:rsidP="007440C5">
      <w:pPr>
        <w:spacing w:before="120" w:after="0"/>
        <w:ind w:left="720"/>
      </w:pPr>
    </w:p>
    <w:p w:rsidR="007440C5" w:rsidRPr="007440C5" w:rsidRDefault="007440C5" w:rsidP="007440C5">
      <w:pPr>
        <w:spacing w:before="120" w:after="0"/>
        <w:ind w:left="720"/>
      </w:pPr>
    </w:p>
    <w:p w:rsidR="007440C5" w:rsidRPr="007440C5" w:rsidRDefault="007440C5" w:rsidP="007440C5">
      <w:pPr>
        <w:spacing w:before="120" w:after="0"/>
        <w:ind w:left="720"/>
      </w:pPr>
    </w:p>
    <w:p w:rsidR="007440C5" w:rsidRPr="007440C5" w:rsidRDefault="007440C5" w:rsidP="007440C5">
      <w:pPr>
        <w:spacing w:before="120" w:after="0"/>
        <w:ind w:left="720"/>
      </w:pPr>
    </w:p>
    <w:p w:rsidR="0083731B" w:rsidRDefault="0083731B" w:rsidP="0083731B">
      <w:pPr>
        <w:spacing w:before="120" w:after="0"/>
        <w:ind w:left="709"/>
      </w:pPr>
    </w:p>
    <w:p w:rsidR="0083731B" w:rsidRDefault="0083731B" w:rsidP="0083731B">
      <w:pPr>
        <w:spacing w:before="120" w:after="0"/>
        <w:ind w:left="709"/>
      </w:pPr>
    </w:p>
    <w:p w:rsidR="0083731B" w:rsidRDefault="0083731B" w:rsidP="0083731B">
      <w:pPr>
        <w:spacing w:after="0"/>
        <w:ind w:left="709"/>
        <w:rPr>
          <w:i/>
        </w:rPr>
      </w:pPr>
      <w:r w:rsidRPr="007440C5">
        <w:rPr>
          <w:sz w:val="18"/>
          <w:szCs w:val="18"/>
        </w:rPr>
        <w:t>(</w:t>
      </w:r>
      <w:r w:rsidRPr="007440C5">
        <w:rPr>
          <w:i/>
          <w:sz w:val="18"/>
          <w:szCs w:val="18"/>
        </w:rPr>
        <w:t>Source: University of Bradford</w:t>
      </w:r>
      <w:r w:rsidRPr="007440C5">
        <w:rPr>
          <w:sz w:val="18"/>
          <w:szCs w:val="18"/>
        </w:rPr>
        <w:t>)</w:t>
      </w:r>
    </w:p>
    <w:p w:rsidR="007440C5" w:rsidRPr="007440C5" w:rsidRDefault="007440C5" w:rsidP="0083731B">
      <w:pPr>
        <w:tabs>
          <w:tab w:val="left" w:pos="1701"/>
        </w:tabs>
        <w:spacing w:before="120" w:after="100" w:afterAutospacing="1"/>
        <w:ind w:left="720"/>
        <w:rPr>
          <w:u w:val="single"/>
        </w:rPr>
      </w:pPr>
      <w:r w:rsidRPr="007440C5">
        <w:rPr>
          <w:i/>
        </w:rPr>
        <w:t xml:space="preserve">Graph 5: </w:t>
      </w:r>
      <w:r w:rsidR="0083731B">
        <w:rPr>
          <w:i/>
        </w:rPr>
        <w:tab/>
      </w:r>
      <w:r w:rsidRPr="007440C5">
        <w:rPr>
          <w:i/>
        </w:rPr>
        <w:t xml:space="preserve">University of Bradford: projected full-time intakes by domicile and level 2014/15 – </w:t>
      </w:r>
      <w:r w:rsidR="0083731B">
        <w:rPr>
          <w:i/>
        </w:rPr>
        <w:tab/>
      </w:r>
      <w:r w:rsidRPr="007440C5">
        <w:rPr>
          <w:i/>
        </w:rPr>
        <w:t>2018/19</w:t>
      </w:r>
    </w:p>
    <w:p w:rsidR="007440C5" w:rsidRPr="007440C5" w:rsidRDefault="007440C5" w:rsidP="007440C5">
      <w:pPr>
        <w:spacing w:before="120" w:after="0"/>
        <w:ind w:left="720"/>
        <w:rPr>
          <w:u w:val="single"/>
        </w:rPr>
      </w:pPr>
      <w:r w:rsidRPr="007440C5">
        <w:rPr>
          <w:noProof/>
          <w:lang w:eastAsia="en-GB"/>
        </w:rPr>
        <w:drawing>
          <wp:anchor distT="0" distB="0" distL="114300" distR="114300" simplePos="0" relativeHeight="251662336" behindDoc="0" locked="0" layoutInCell="1" allowOverlap="1" wp14:anchorId="07D3ED5D" wp14:editId="6845B883">
            <wp:simplePos x="0" y="0"/>
            <wp:positionH relativeFrom="column">
              <wp:posOffset>457200</wp:posOffset>
            </wp:positionH>
            <wp:positionV relativeFrom="paragraph">
              <wp:posOffset>20955</wp:posOffset>
            </wp:positionV>
            <wp:extent cx="4572000" cy="2743200"/>
            <wp:effectExtent l="0" t="0" r="25400" b="2540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440C5" w:rsidRPr="007440C5" w:rsidRDefault="007440C5" w:rsidP="007440C5">
      <w:pPr>
        <w:spacing w:before="120" w:after="0"/>
        <w:rPr>
          <w:u w:val="single"/>
        </w:rPr>
      </w:pPr>
    </w:p>
    <w:p w:rsidR="007440C5" w:rsidRPr="007440C5" w:rsidRDefault="007440C5" w:rsidP="007440C5">
      <w:pPr>
        <w:spacing w:before="120" w:after="0"/>
        <w:rPr>
          <w:u w:val="single"/>
        </w:rPr>
      </w:pPr>
    </w:p>
    <w:p w:rsidR="007440C5" w:rsidRPr="007440C5" w:rsidRDefault="007440C5" w:rsidP="007440C5">
      <w:pPr>
        <w:spacing w:before="120" w:after="0"/>
        <w:rPr>
          <w:u w:val="single"/>
        </w:rPr>
      </w:pPr>
    </w:p>
    <w:p w:rsidR="007440C5" w:rsidRPr="007440C5" w:rsidRDefault="007440C5" w:rsidP="007440C5">
      <w:pPr>
        <w:spacing w:before="120" w:after="0"/>
        <w:rPr>
          <w:u w:val="single"/>
        </w:rPr>
      </w:pPr>
    </w:p>
    <w:p w:rsidR="007440C5" w:rsidRPr="007440C5" w:rsidRDefault="007440C5" w:rsidP="007440C5">
      <w:pPr>
        <w:spacing w:before="120" w:after="0"/>
        <w:ind w:left="720"/>
        <w:rPr>
          <w:u w:val="single"/>
        </w:rPr>
      </w:pPr>
    </w:p>
    <w:p w:rsidR="007440C5" w:rsidRPr="007440C5" w:rsidRDefault="007440C5" w:rsidP="007440C5">
      <w:pPr>
        <w:spacing w:before="120" w:after="0"/>
      </w:pPr>
    </w:p>
    <w:p w:rsidR="007440C5" w:rsidRPr="007440C5" w:rsidRDefault="007440C5" w:rsidP="007440C5">
      <w:pPr>
        <w:spacing w:before="120" w:after="0"/>
      </w:pPr>
    </w:p>
    <w:p w:rsidR="0004350F" w:rsidRDefault="0004350F" w:rsidP="007440C5">
      <w:pPr>
        <w:spacing w:before="120" w:after="0"/>
        <w:ind w:left="709"/>
      </w:pPr>
    </w:p>
    <w:p w:rsidR="0004350F" w:rsidRDefault="0004350F" w:rsidP="007440C5">
      <w:pPr>
        <w:spacing w:before="120" w:after="0"/>
        <w:ind w:left="709"/>
      </w:pPr>
    </w:p>
    <w:p w:rsidR="0004350F" w:rsidRDefault="0004350F" w:rsidP="007440C5">
      <w:pPr>
        <w:spacing w:before="120" w:after="0"/>
        <w:ind w:left="709"/>
      </w:pPr>
    </w:p>
    <w:p w:rsidR="007440C5" w:rsidRPr="007440C5" w:rsidRDefault="0004350F" w:rsidP="007440C5">
      <w:pPr>
        <w:spacing w:before="120" w:after="0"/>
        <w:ind w:left="709"/>
      </w:pPr>
      <w:r>
        <w:t>Table 20 shows how t</w:t>
      </w:r>
      <w:r w:rsidR="007440C5" w:rsidRPr="007440C5">
        <w:t xml:space="preserve">hese intake projections </w:t>
      </w:r>
      <w:r>
        <w:t xml:space="preserve">convert to </w:t>
      </w:r>
      <w:r w:rsidR="007440C5" w:rsidRPr="007440C5">
        <w:t xml:space="preserve">total </w:t>
      </w:r>
      <w:r>
        <w:t xml:space="preserve">student </w:t>
      </w:r>
      <w:r w:rsidR="007440C5" w:rsidRPr="007440C5">
        <w:t>populations</w:t>
      </w:r>
      <w:r>
        <w:t>.</w:t>
      </w:r>
    </w:p>
    <w:p w:rsidR="007440C5" w:rsidRPr="007440C5" w:rsidRDefault="007440C5" w:rsidP="007440C5">
      <w:pPr>
        <w:rPr>
          <w:i/>
        </w:rPr>
      </w:pPr>
      <w:r w:rsidRPr="007440C5">
        <w:rPr>
          <w:i/>
        </w:rPr>
        <w:br w:type="page"/>
      </w:r>
    </w:p>
    <w:p w:rsidR="00565D91" w:rsidRDefault="0083731B" w:rsidP="00565D91">
      <w:pPr>
        <w:tabs>
          <w:tab w:val="left" w:pos="1701"/>
        </w:tabs>
        <w:spacing w:before="120" w:after="100" w:afterAutospacing="1"/>
        <w:ind w:left="720"/>
      </w:pPr>
      <w:r>
        <w:rPr>
          <w:i/>
        </w:rPr>
        <w:lastRenderedPageBreak/>
        <w:t>Table 20:</w:t>
      </w:r>
      <w:r>
        <w:rPr>
          <w:i/>
        </w:rPr>
        <w:tab/>
      </w:r>
      <w:r w:rsidR="007440C5" w:rsidRPr="007440C5">
        <w:rPr>
          <w:i/>
        </w:rPr>
        <w:t>University of Bradford: projected full-time total student populations 2014/15 – 2018/19</w:t>
      </w:r>
    </w:p>
    <w:tbl>
      <w:tblPr>
        <w:tblStyle w:val="TableGrid"/>
        <w:tblW w:w="0" w:type="auto"/>
        <w:tblInd w:w="817" w:type="dxa"/>
        <w:tblLook w:val="04A0" w:firstRow="1" w:lastRow="0" w:firstColumn="1" w:lastColumn="0" w:noHBand="0" w:noVBand="1"/>
      </w:tblPr>
      <w:tblGrid>
        <w:gridCol w:w="1701"/>
        <w:gridCol w:w="1134"/>
        <w:gridCol w:w="1134"/>
        <w:gridCol w:w="1276"/>
        <w:gridCol w:w="1276"/>
        <w:gridCol w:w="1417"/>
      </w:tblGrid>
      <w:tr w:rsidR="00565D91" w:rsidTr="00565D91">
        <w:tc>
          <w:tcPr>
            <w:tcW w:w="1701" w:type="dxa"/>
          </w:tcPr>
          <w:p w:rsidR="00565D91" w:rsidRPr="00565D91" w:rsidRDefault="00565D91" w:rsidP="00DE2F43">
            <w:pPr>
              <w:rPr>
                <w:b/>
                <w:sz w:val="20"/>
                <w:szCs w:val="20"/>
              </w:rPr>
            </w:pPr>
          </w:p>
        </w:tc>
        <w:tc>
          <w:tcPr>
            <w:tcW w:w="1134" w:type="dxa"/>
          </w:tcPr>
          <w:p w:rsidR="00565D91" w:rsidRPr="00565D91" w:rsidRDefault="00565D91" w:rsidP="00DE2F43">
            <w:pPr>
              <w:rPr>
                <w:b/>
                <w:sz w:val="20"/>
                <w:szCs w:val="20"/>
              </w:rPr>
            </w:pPr>
            <w:r w:rsidRPr="00565D91">
              <w:rPr>
                <w:b/>
                <w:sz w:val="20"/>
                <w:szCs w:val="20"/>
              </w:rPr>
              <w:t>2014/15</w:t>
            </w:r>
          </w:p>
        </w:tc>
        <w:tc>
          <w:tcPr>
            <w:tcW w:w="1134" w:type="dxa"/>
          </w:tcPr>
          <w:p w:rsidR="00565D91" w:rsidRPr="00565D91" w:rsidRDefault="00565D91" w:rsidP="00DE2F43">
            <w:pPr>
              <w:rPr>
                <w:b/>
                <w:sz w:val="20"/>
                <w:szCs w:val="20"/>
              </w:rPr>
            </w:pPr>
            <w:r w:rsidRPr="00565D91">
              <w:rPr>
                <w:b/>
                <w:sz w:val="20"/>
                <w:szCs w:val="20"/>
              </w:rPr>
              <w:t>2015/16</w:t>
            </w:r>
          </w:p>
        </w:tc>
        <w:tc>
          <w:tcPr>
            <w:tcW w:w="1276" w:type="dxa"/>
          </w:tcPr>
          <w:p w:rsidR="00565D91" w:rsidRPr="00565D91" w:rsidRDefault="00565D91" w:rsidP="00DE2F43">
            <w:pPr>
              <w:rPr>
                <w:b/>
                <w:sz w:val="20"/>
                <w:szCs w:val="20"/>
              </w:rPr>
            </w:pPr>
            <w:r w:rsidRPr="00565D91">
              <w:rPr>
                <w:b/>
                <w:sz w:val="20"/>
                <w:szCs w:val="20"/>
              </w:rPr>
              <w:t>2016/17</w:t>
            </w:r>
          </w:p>
        </w:tc>
        <w:tc>
          <w:tcPr>
            <w:tcW w:w="1276" w:type="dxa"/>
          </w:tcPr>
          <w:p w:rsidR="00565D91" w:rsidRPr="00565D91" w:rsidRDefault="00565D91" w:rsidP="00DE2F43">
            <w:pPr>
              <w:rPr>
                <w:b/>
                <w:sz w:val="20"/>
                <w:szCs w:val="20"/>
              </w:rPr>
            </w:pPr>
            <w:r w:rsidRPr="00565D91">
              <w:rPr>
                <w:b/>
                <w:sz w:val="20"/>
                <w:szCs w:val="20"/>
              </w:rPr>
              <w:t>2017/18</w:t>
            </w:r>
          </w:p>
        </w:tc>
        <w:tc>
          <w:tcPr>
            <w:tcW w:w="1417" w:type="dxa"/>
          </w:tcPr>
          <w:p w:rsidR="00565D91" w:rsidRPr="00565D91" w:rsidRDefault="00565D91" w:rsidP="00DE2F43">
            <w:pPr>
              <w:rPr>
                <w:b/>
                <w:sz w:val="20"/>
                <w:szCs w:val="20"/>
              </w:rPr>
            </w:pPr>
            <w:r w:rsidRPr="00565D91">
              <w:rPr>
                <w:b/>
                <w:sz w:val="20"/>
                <w:szCs w:val="20"/>
              </w:rPr>
              <w:t>2018/19</w:t>
            </w:r>
          </w:p>
        </w:tc>
      </w:tr>
      <w:tr w:rsidR="00565D91" w:rsidTr="00565D91">
        <w:tc>
          <w:tcPr>
            <w:tcW w:w="1701" w:type="dxa"/>
          </w:tcPr>
          <w:p w:rsidR="00565D91" w:rsidRPr="00565D91" w:rsidRDefault="00565D91" w:rsidP="00DE2F43">
            <w:pPr>
              <w:rPr>
                <w:sz w:val="20"/>
                <w:szCs w:val="20"/>
              </w:rPr>
            </w:pPr>
            <w:r w:rsidRPr="00565D91">
              <w:rPr>
                <w:sz w:val="20"/>
                <w:szCs w:val="20"/>
              </w:rPr>
              <w:t>Home UG</w:t>
            </w:r>
          </w:p>
        </w:tc>
        <w:tc>
          <w:tcPr>
            <w:tcW w:w="1134" w:type="dxa"/>
          </w:tcPr>
          <w:p w:rsidR="00565D91" w:rsidRPr="00565D91" w:rsidRDefault="00565D91" w:rsidP="00DE2F43">
            <w:pPr>
              <w:rPr>
                <w:sz w:val="20"/>
                <w:szCs w:val="20"/>
              </w:rPr>
            </w:pPr>
            <w:r w:rsidRPr="00565D91">
              <w:rPr>
                <w:sz w:val="20"/>
                <w:szCs w:val="20"/>
              </w:rPr>
              <w:t>6,972</w:t>
            </w:r>
          </w:p>
        </w:tc>
        <w:tc>
          <w:tcPr>
            <w:tcW w:w="1134" w:type="dxa"/>
          </w:tcPr>
          <w:p w:rsidR="00565D91" w:rsidRPr="00565D91" w:rsidRDefault="00565D91" w:rsidP="00DE2F43">
            <w:pPr>
              <w:rPr>
                <w:sz w:val="20"/>
                <w:szCs w:val="20"/>
              </w:rPr>
            </w:pPr>
            <w:r w:rsidRPr="00565D91">
              <w:rPr>
                <w:sz w:val="20"/>
                <w:szCs w:val="20"/>
              </w:rPr>
              <w:t>6,868</w:t>
            </w:r>
          </w:p>
        </w:tc>
        <w:tc>
          <w:tcPr>
            <w:tcW w:w="1276" w:type="dxa"/>
          </w:tcPr>
          <w:p w:rsidR="00565D91" w:rsidRPr="00565D91" w:rsidRDefault="00565D91" w:rsidP="00DE2F43">
            <w:pPr>
              <w:rPr>
                <w:sz w:val="20"/>
                <w:szCs w:val="20"/>
              </w:rPr>
            </w:pPr>
            <w:r w:rsidRPr="00565D91">
              <w:rPr>
                <w:sz w:val="20"/>
                <w:szCs w:val="20"/>
              </w:rPr>
              <w:t>6,992</w:t>
            </w:r>
          </w:p>
        </w:tc>
        <w:tc>
          <w:tcPr>
            <w:tcW w:w="1276" w:type="dxa"/>
          </w:tcPr>
          <w:p w:rsidR="00565D91" w:rsidRPr="00565D91" w:rsidRDefault="00565D91" w:rsidP="00DE2F43">
            <w:pPr>
              <w:rPr>
                <w:sz w:val="20"/>
                <w:szCs w:val="20"/>
              </w:rPr>
            </w:pPr>
            <w:r w:rsidRPr="00565D91">
              <w:rPr>
                <w:sz w:val="20"/>
                <w:szCs w:val="20"/>
              </w:rPr>
              <w:t>7,087</w:t>
            </w:r>
          </w:p>
        </w:tc>
        <w:tc>
          <w:tcPr>
            <w:tcW w:w="1417" w:type="dxa"/>
          </w:tcPr>
          <w:p w:rsidR="00565D91" w:rsidRPr="00565D91" w:rsidRDefault="00565D91" w:rsidP="00DE2F43">
            <w:pPr>
              <w:rPr>
                <w:sz w:val="20"/>
                <w:szCs w:val="20"/>
              </w:rPr>
            </w:pPr>
            <w:r w:rsidRPr="00565D91">
              <w:rPr>
                <w:sz w:val="20"/>
                <w:szCs w:val="20"/>
              </w:rPr>
              <w:t>7,220</w:t>
            </w:r>
          </w:p>
        </w:tc>
      </w:tr>
      <w:tr w:rsidR="00565D91" w:rsidTr="00565D91">
        <w:tc>
          <w:tcPr>
            <w:tcW w:w="1701" w:type="dxa"/>
          </w:tcPr>
          <w:p w:rsidR="00565D91" w:rsidRPr="00565D91" w:rsidRDefault="00565D91" w:rsidP="00DE2F43">
            <w:pPr>
              <w:rPr>
                <w:sz w:val="20"/>
                <w:szCs w:val="20"/>
              </w:rPr>
            </w:pPr>
            <w:r w:rsidRPr="00565D91">
              <w:rPr>
                <w:sz w:val="20"/>
                <w:szCs w:val="20"/>
              </w:rPr>
              <w:t>Non-EU UG</w:t>
            </w:r>
          </w:p>
        </w:tc>
        <w:tc>
          <w:tcPr>
            <w:tcW w:w="1134" w:type="dxa"/>
          </w:tcPr>
          <w:p w:rsidR="00565D91" w:rsidRPr="00565D91" w:rsidRDefault="00565D91" w:rsidP="00DE2F43">
            <w:pPr>
              <w:rPr>
                <w:sz w:val="20"/>
                <w:szCs w:val="20"/>
              </w:rPr>
            </w:pPr>
            <w:r w:rsidRPr="00565D91">
              <w:rPr>
                <w:sz w:val="20"/>
                <w:szCs w:val="20"/>
              </w:rPr>
              <w:t>775</w:t>
            </w:r>
          </w:p>
        </w:tc>
        <w:tc>
          <w:tcPr>
            <w:tcW w:w="1134" w:type="dxa"/>
          </w:tcPr>
          <w:p w:rsidR="00565D91" w:rsidRPr="00565D91" w:rsidRDefault="00565D91" w:rsidP="00DE2F43">
            <w:pPr>
              <w:rPr>
                <w:sz w:val="20"/>
                <w:szCs w:val="20"/>
              </w:rPr>
            </w:pPr>
            <w:r w:rsidRPr="00565D91">
              <w:rPr>
                <w:sz w:val="20"/>
                <w:szCs w:val="20"/>
              </w:rPr>
              <w:t>843</w:t>
            </w:r>
          </w:p>
        </w:tc>
        <w:tc>
          <w:tcPr>
            <w:tcW w:w="1276" w:type="dxa"/>
          </w:tcPr>
          <w:p w:rsidR="00565D91" w:rsidRPr="00565D91" w:rsidRDefault="00565D91" w:rsidP="00DE2F43">
            <w:pPr>
              <w:rPr>
                <w:sz w:val="20"/>
                <w:szCs w:val="20"/>
              </w:rPr>
            </w:pPr>
            <w:r w:rsidRPr="00565D91">
              <w:rPr>
                <w:sz w:val="20"/>
                <w:szCs w:val="20"/>
              </w:rPr>
              <w:t>906</w:t>
            </w:r>
          </w:p>
        </w:tc>
        <w:tc>
          <w:tcPr>
            <w:tcW w:w="1276" w:type="dxa"/>
          </w:tcPr>
          <w:p w:rsidR="00565D91" w:rsidRPr="00565D91" w:rsidRDefault="00565D91" w:rsidP="00DE2F43">
            <w:pPr>
              <w:rPr>
                <w:sz w:val="20"/>
                <w:szCs w:val="20"/>
              </w:rPr>
            </w:pPr>
            <w:r w:rsidRPr="00565D91">
              <w:rPr>
                <w:sz w:val="20"/>
                <w:szCs w:val="20"/>
              </w:rPr>
              <w:t>977</w:t>
            </w:r>
          </w:p>
        </w:tc>
        <w:tc>
          <w:tcPr>
            <w:tcW w:w="1417" w:type="dxa"/>
          </w:tcPr>
          <w:p w:rsidR="00565D91" w:rsidRPr="00565D91" w:rsidRDefault="00565D91" w:rsidP="00DE2F43">
            <w:pPr>
              <w:rPr>
                <w:sz w:val="20"/>
                <w:szCs w:val="20"/>
              </w:rPr>
            </w:pPr>
            <w:r w:rsidRPr="00565D91">
              <w:rPr>
                <w:sz w:val="20"/>
                <w:szCs w:val="20"/>
              </w:rPr>
              <w:t>1,078</w:t>
            </w:r>
          </w:p>
        </w:tc>
      </w:tr>
      <w:tr w:rsidR="00565D91" w:rsidTr="00565D91">
        <w:tc>
          <w:tcPr>
            <w:tcW w:w="1701" w:type="dxa"/>
          </w:tcPr>
          <w:p w:rsidR="00565D91" w:rsidRPr="00565D91" w:rsidRDefault="00565D91" w:rsidP="00DE2F43">
            <w:pPr>
              <w:rPr>
                <w:sz w:val="20"/>
                <w:szCs w:val="20"/>
              </w:rPr>
            </w:pPr>
            <w:r w:rsidRPr="00565D91">
              <w:rPr>
                <w:sz w:val="20"/>
                <w:szCs w:val="20"/>
              </w:rPr>
              <w:t>Other EU UG</w:t>
            </w:r>
          </w:p>
        </w:tc>
        <w:tc>
          <w:tcPr>
            <w:tcW w:w="1134" w:type="dxa"/>
          </w:tcPr>
          <w:p w:rsidR="00565D91" w:rsidRPr="00565D91" w:rsidRDefault="00565D91" w:rsidP="00DE2F43">
            <w:pPr>
              <w:rPr>
                <w:sz w:val="20"/>
                <w:szCs w:val="20"/>
              </w:rPr>
            </w:pPr>
            <w:r w:rsidRPr="00565D91">
              <w:rPr>
                <w:sz w:val="20"/>
                <w:szCs w:val="20"/>
              </w:rPr>
              <w:t>579</w:t>
            </w:r>
          </w:p>
        </w:tc>
        <w:tc>
          <w:tcPr>
            <w:tcW w:w="1134" w:type="dxa"/>
          </w:tcPr>
          <w:p w:rsidR="00565D91" w:rsidRPr="00565D91" w:rsidRDefault="00565D91" w:rsidP="00DE2F43">
            <w:pPr>
              <w:rPr>
                <w:sz w:val="20"/>
                <w:szCs w:val="20"/>
              </w:rPr>
            </w:pPr>
            <w:r w:rsidRPr="00565D91">
              <w:rPr>
                <w:sz w:val="20"/>
                <w:szCs w:val="20"/>
              </w:rPr>
              <w:t>571</w:t>
            </w:r>
          </w:p>
        </w:tc>
        <w:tc>
          <w:tcPr>
            <w:tcW w:w="1276" w:type="dxa"/>
          </w:tcPr>
          <w:p w:rsidR="00565D91" w:rsidRPr="00565D91" w:rsidRDefault="00565D91" w:rsidP="00DE2F43">
            <w:pPr>
              <w:rPr>
                <w:sz w:val="20"/>
                <w:szCs w:val="20"/>
              </w:rPr>
            </w:pPr>
            <w:r w:rsidRPr="00565D91">
              <w:rPr>
                <w:sz w:val="20"/>
                <w:szCs w:val="20"/>
              </w:rPr>
              <w:t>581</w:t>
            </w:r>
          </w:p>
        </w:tc>
        <w:tc>
          <w:tcPr>
            <w:tcW w:w="1276" w:type="dxa"/>
          </w:tcPr>
          <w:p w:rsidR="00565D91" w:rsidRPr="00565D91" w:rsidRDefault="00565D91" w:rsidP="00DE2F43">
            <w:pPr>
              <w:rPr>
                <w:sz w:val="20"/>
                <w:szCs w:val="20"/>
              </w:rPr>
            </w:pPr>
            <w:r w:rsidRPr="00565D91">
              <w:rPr>
                <w:sz w:val="20"/>
                <w:szCs w:val="20"/>
              </w:rPr>
              <w:t>589</w:t>
            </w:r>
          </w:p>
        </w:tc>
        <w:tc>
          <w:tcPr>
            <w:tcW w:w="1417" w:type="dxa"/>
          </w:tcPr>
          <w:p w:rsidR="00565D91" w:rsidRPr="00565D91" w:rsidRDefault="00565D91" w:rsidP="00DE2F43">
            <w:pPr>
              <w:rPr>
                <w:sz w:val="20"/>
                <w:szCs w:val="20"/>
              </w:rPr>
            </w:pPr>
            <w:r w:rsidRPr="00565D91">
              <w:rPr>
                <w:sz w:val="20"/>
                <w:szCs w:val="20"/>
              </w:rPr>
              <w:t>600</w:t>
            </w:r>
          </w:p>
        </w:tc>
      </w:tr>
      <w:tr w:rsidR="00565D91" w:rsidTr="00565D91">
        <w:tc>
          <w:tcPr>
            <w:tcW w:w="1701" w:type="dxa"/>
          </w:tcPr>
          <w:p w:rsidR="00565D91" w:rsidRPr="00565D91" w:rsidRDefault="00565D91" w:rsidP="00DE2F43">
            <w:pPr>
              <w:rPr>
                <w:sz w:val="20"/>
                <w:szCs w:val="20"/>
              </w:rPr>
            </w:pPr>
            <w:r w:rsidRPr="00565D91">
              <w:rPr>
                <w:sz w:val="20"/>
                <w:szCs w:val="20"/>
              </w:rPr>
              <w:t>Home PG</w:t>
            </w:r>
          </w:p>
        </w:tc>
        <w:tc>
          <w:tcPr>
            <w:tcW w:w="1134" w:type="dxa"/>
          </w:tcPr>
          <w:p w:rsidR="00565D91" w:rsidRPr="00565D91" w:rsidRDefault="00565D91" w:rsidP="00DE2F43">
            <w:pPr>
              <w:rPr>
                <w:sz w:val="20"/>
                <w:szCs w:val="20"/>
              </w:rPr>
            </w:pPr>
            <w:r w:rsidRPr="00565D91">
              <w:rPr>
                <w:sz w:val="20"/>
                <w:szCs w:val="20"/>
              </w:rPr>
              <w:t>301</w:t>
            </w:r>
          </w:p>
        </w:tc>
        <w:tc>
          <w:tcPr>
            <w:tcW w:w="1134" w:type="dxa"/>
          </w:tcPr>
          <w:p w:rsidR="00565D91" w:rsidRPr="00565D91" w:rsidRDefault="00565D91" w:rsidP="00DE2F43">
            <w:pPr>
              <w:rPr>
                <w:sz w:val="20"/>
                <w:szCs w:val="20"/>
              </w:rPr>
            </w:pPr>
            <w:r w:rsidRPr="00565D91">
              <w:rPr>
                <w:sz w:val="20"/>
                <w:szCs w:val="20"/>
              </w:rPr>
              <w:t>340</w:t>
            </w:r>
          </w:p>
        </w:tc>
        <w:tc>
          <w:tcPr>
            <w:tcW w:w="1276" w:type="dxa"/>
          </w:tcPr>
          <w:p w:rsidR="00565D91" w:rsidRPr="00565D91" w:rsidRDefault="00565D91" w:rsidP="00DE2F43">
            <w:pPr>
              <w:rPr>
                <w:sz w:val="20"/>
                <w:szCs w:val="20"/>
              </w:rPr>
            </w:pPr>
            <w:r w:rsidRPr="00565D91">
              <w:rPr>
                <w:sz w:val="20"/>
                <w:szCs w:val="20"/>
              </w:rPr>
              <w:t>368</w:t>
            </w:r>
          </w:p>
        </w:tc>
        <w:tc>
          <w:tcPr>
            <w:tcW w:w="1276" w:type="dxa"/>
          </w:tcPr>
          <w:p w:rsidR="00565D91" w:rsidRPr="00565D91" w:rsidRDefault="00565D91" w:rsidP="00DE2F43">
            <w:pPr>
              <w:rPr>
                <w:sz w:val="20"/>
                <w:szCs w:val="20"/>
              </w:rPr>
            </w:pPr>
            <w:r w:rsidRPr="00565D91">
              <w:rPr>
                <w:sz w:val="20"/>
                <w:szCs w:val="20"/>
              </w:rPr>
              <w:t>395</w:t>
            </w:r>
          </w:p>
        </w:tc>
        <w:tc>
          <w:tcPr>
            <w:tcW w:w="1417" w:type="dxa"/>
          </w:tcPr>
          <w:p w:rsidR="00565D91" w:rsidRPr="00565D91" w:rsidRDefault="00565D91" w:rsidP="00DE2F43">
            <w:pPr>
              <w:rPr>
                <w:sz w:val="20"/>
                <w:szCs w:val="20"/>
              </w:rPr>
            </w:pPr>
            <w:r w:rsidRPr="00565D91">
              <w:rPr>
                <w:sz w:val="20"/>
                <w:szCs w:val="20"/>
              </w:rPr>
              <w:t>422</w:t>
            </w:r>
          </w:p>
        </w:tc>
      </w:tr>
      <w:tr w:rsidR="00565D91" w:rsidTr="00565D91">
        <w:tc>
          <w:tcPr>
            <w:tcW w:w="1701" w:type="dxa"/>
          </w:tcPr>
          <w:p w:rsidR="00565D91" w:rsidRPr="00565D91" w:rsidRDefault="00565D91" w:rsidP="00DE2F43">
            <w:pPr>
              <w:rPr>
                <w:sz w:val="20"/>
                <w:szCs w:val="20"/>
              </w:rPr>
            </w:pPr>
            <w:r w:rsidRPr="00565D91">
              <w:rPr>
                <w:sz w:val="20"/>
                <w:szCs w:val="20"/>
              </w:rPr>
              <w:t>Non-EU PG</w:t>
            </w:r>
          </w:p>
        </w:tc>
        <w:tc>
          <w:tcPr>
            <w:tcW w:w="1134" w:type="dxa"/>
          </w:tcPr>
          <w:p w:rsidR="00565D91" w:rsidRPr="00565D91" w:rsidRDefault="00565D91" w:rsidP="00DE2F43">
            <w:pPr>
              <w:rPr>
                <w:sz w:val="20"/>
                <w:szCs w:val="20"/>
              </w:rPr>
            </w:pPr>
            <w:r w:rsidRPr="00565D91">
              <w:rPr>
                <w:sz w:val="20"/>
                <w:szCs w:val="20"/>
              </w:rPr>
              <w:t>594</w:t>
            </w:r>
          </w:p>
        </w:tc>
        <w:tc>
          <w:tcPr>
            <w:tcW w:w="1134" w:type="dxa"/>
          </w:tcPr>
          <w:p w:rsidR="00565D91" w:rsidRPr="00565D91" w:rsidRDefault="00565D91" w:rsidP="00DE2F43">
            <w:pPr>
              <w:rPr>
                <w:sz w:val="20"/>
                <w:szCs w:val="20"/>
              </w:rPr>
            </w:pPr>
            <w:r w:rsidRPr="00565D91">
              <w:rPr>
                <w:sz w:val="20"/>
                <w:szCs w:val="20"/>
              </w:rPr>
              <w:t>638</w:t>
            </w:r>
          </w:p>
        </w:tc>
        <w:tc>
          <w:tcPr>
            <w:tcW w:w="1276" w:type="dxa"/>
          </w:tcPr>
          <w:p w:rsidR="00565D91" w:rsidRPr="00565D91" w:rsidRDefault="00565D91" w:rsidP="00DE2F43">
            <w:pPr>
              <w:rPr>
                <w:sz w:val="20"/>
                <w:szCs w:val="20"/>
              </w:rPr>
            </w:pPr>
            <w:r w:rsidRPr="00565D91">
              <w:rPr>
                <w:sz w:val="20"/>
                <w:szCs w:val="20"/>
              </w:rPr>
              <w:t>678</w:t>
            </w:r>
          </w:p>
        </w:tc>
        <w:tc>
          <w:tcPr>
            <w:tcW w:w="1276" w:type="dxa"/>
          </w:tcPr>
          <w:p w:rsidR="00565D91" w:rsidRPr="00565D91" w:rsidRDefault="00565D91" w:rsidP="00DE2F43">
            <w:pPr>
              <w:rPr>
                <w:sz w:val="20"/>
                <w:szCs w:val="20"/>
              </w:rPr>
            </w:pPr>
            <w:r w:rsidRPr="00565D91">
              <w:rPr>
                <w:sz w:val="20"/>
                <w:szCs w:val="20"/>
              </w:rPr>
              <w:t>723</w:t>
            </w:r>
          </w:p>
        </w:tc>
        <w:tc>
          <w:tcPr>
            <w:tcW w:w="1417" w:type="dxa"/>
          </w:tcPr>
          <w:p w:rsidR="00565D91" w:rsidRPr="00565D91" w:rsidRDefault="00565D91" w:rsidP="00DE2F43">
            <w:pPr>
              <w:rPr>
                <w:sz w:val="20"/>
                <w:szCs w:val="20"/>
              </w:rPr>
            </w:pPr>
            <w:r w:rsidRPr="00565D91">
              <w:rPr>
                <w:sz w:val="20"/>
                <w:szCs w:val="20"/>
              </w:rPr>
              <w:t>768</w:t>
            </w:r>
          </w:p>
        </w:tc>
      </w:tr>
      <w:tr w:rsidR="00565D91" w:rsidTr="00565D91">
        <w:tc>
          <w:tcPr>
            <w:tcW w:w="1701" w:type="dxa"/>
          </w:tcPr>
          <w:p w:rsidR="00565D91" w:rsidRPr="00565D91" w:rsidRDefault="00565D91" w:rsidP="00DE2F43">
            <w:pPr>
              <w:rPr>
                <w:sz w:val="20"/>
                <w:szCs w:val="20"/>
              </w:rPr>
            </w:pPr>
            <w:r w:rsidRPr="00565D91">
              <w:rPr>
                <w:sz w:val="20"/>
                <w:szCs w:val="20"/>
              </w:rPr>
              <w:t>Other EU PG</w:t>
            </w:r>
          </w:p>
        </w:tc>
        <w:tc>
          <w:tcPr>
            <w:tcW w:w="1134" w:type="dxa"/>
          </w:tcPr>
          <w:p w:rsidR="00565D91" w:rsidRPr="00565D91" w:rsidRDefault="00565D91" w:rsidP="00DE2F43">
            <w:pPr>
              <w:rPr>
                <w:sz w:val="20"/>
                <w:szCs w:val="20"/>
              </w:rPr>
            </w:pPr>
            <w:r w:rsidRPr="00565D91">
              <w:rPr>
                <w:sz w:val="20"/>
                <w:szCs w:val="20"/>
              </w:rPr>
              <w:t>85</w:t>
            </w:r>
          </w:p>
        </w:tc>
        <w:tc>
          <w:tcPr>
            <w:tcW w:w="1134" w:type="dxa"/>
          </w:tcPr>
          <w:p w:rsidR="00565D91" w:rsidRPr="00565D91" w:rsidRDefault="00565D91" w:rsidP="00DE2F43">
            <w:pPr>
              <w:rPr>
                <w:sz w:val="20"/>
                <w:szCs w:val="20"/>
              </w:rPr>
            </w:pPr>
            <w:r w:rsidRPr="00565D91">
              <w:rPr>
                <w:sz w:val="20"/>
                <w:szCs w:val="20"/>
              </w:rPr>
              <w:t>96</w:t>
            </w:r>
          </w:p>
        </w:tc>
        <w:tc>
          <w:tcPr>
            <w:tcW w:w="1276" w:type="dxa"/>
          </w:tcPr>
          <w:p w:rsidR="00565D91" w:rsidRPr="00565D91" w:rsidRDefault="00565D91" w:rsidP="00DE2F43">
            <w:pPr>
              <w:rPr>
                <w:sz w:val="20"/>
                <w:szCs w:val="20"/>
              </w:rPr>
            </w:pPr>
            <w:r w:rsidRPr="00565D91">
              <w:rPr>
                <w:sz w:val="20"/>
                <w:szCs w:val="20"/>
              </w:rPr>
              <w:t>103</w:t>
            </w:r>
          </w:p>
        </w:tc>
        <w:tc>
          <w:tcPr>
            <w:tcW w:w="1276" w:type="dxa"/>
          </w:tcPr>
          <w:p w:rsidR="00565D91" w:rsidRPr="00565D91" w:rsidRDefault="00565D91" w:rsidP="00DE2F43">
            <w:pPr>
              <w:rPr>
                <w:sz w:val="20"/>
                <w:szCs w:val="20"/>
              </w:rPr>
            </w:pPr>
            <w:r w:rsidRPr="00565D91">
              <w:rPr>
                <w:sz w:val="20"/>
                <w:szCs w:val="20"/>
              </w:rPr>
              <w:t>111</w:t>
            </w:r>
          </w:p>
        </w:tc>
        <w:tc>
          <w:tcPr>
            <w:tcW w:w="1417" w:type="dxa"/>
          </w:tcPr>
          <w:p w:rsidR="00565D91" w:rsidRPr="00565D91" w:rsidRDefault="00565D91" w:rsidP="00DE2F43">
            <w:pPr>
              <w:rPr>
                <w:sz w:val="20"/>
                <w:szCs w:val="20"/>
              </w:rPr>
            </w:pPr>
            <w:r w:rsidRPr="00565D91">
              <w:rPr>
                <w:sz w:val="20"/>
                <w:szCs w:val="20"/>
              </w:rPr>
              <w:t>119</w:t>
            </w:r>
          </w:p>
        </w:tc>
      </w:tr>
      <w:tr w:rsidR="00565D91" w:rsidTr="00565D91">
        <w:tc>
          <w:tcPr>
            <w:tcW w:w="1701" w:type="dxa"/>
          </w:tcPr>
          <w:p w:rsidR="00565D91" w:rsidRPr="00565D91" w:rsidRDefault="00565D91" w:rsidP="00DE2F43">
            <w:pPr>
              <w:rPr>
                <w:b/>
                <w:sz w:val="20"/>
                <w:szCs w:val="20"/>
              </w:rPr>
            </w:pPr>
            <w:r w:rsidRPr="00565D91">
              <w:rPr>
                <w:b/>
                <w:sz w:val="20"/>
                <w:szCs w:val="20"/>
              </w:rPr>
              <w:t>TOTAL</w:t>
            </w:r>
          </w:p>
        </w:tc>
        <w:tc>
          <w:tcPr>
            <w:tcW w:w="1134" w:type="dxa"/>
          </w:tcPr>
          <w:p w:rsidR="00565D91" w:rsidRPr="00565D91" w:rsidRDefault="00565D91" w:rsidP="00DE2F43">
            <w:pPr>
              <w:rPr>
                <w:b/>
                <w:sz w:val="20"/>
                <w:szCs w:val="20"/>
              </w:rPr>
            </w:pPr>
            <w:r w:rsidRPr="00565D91">
              <w:rPr>
                <w:b/>
                <w:sz w:val="20"/>
                <w:szCs w:val="20"/>
              </w:rPr>
              <w:t>9,306</w:t>
            </w:r>
          </w:p>
        </w:tc>
        <w:tc>
          <w:tcPr>
            <w:tcW w:w="1134" w:type="dxa"/>
          </w:tcPr>
          <w:p w:rsidR="00565D91" w:rsidRPr="00565D91" w:rsidRDefault="00565D91" w:rsidP="00DE2F43">
            <w:pPr>
              <w:rPr>
                <w:b/>
                <w:sz w:val="20"/>
                <w:szCs w:val="20"/>
              </w:rPr>
            </w:pPr>
            <w:r w:rsidRPr="00565D91">
              <w:rPr>
                <w:b/>
                <w:sz w:val="20"/>
                <w:szCs w:val="20"/>
              </w:rPr>
              <w:t>9,356</w:t>
            </w:r>
          </w:p>
        </w:tc>
        <w:tc>
          <w:tcPr>
            <w:tcW w:w="1276" w:type="dxa"/>
          </w:tcPr>
          <w:p w:rsidR="00565D91" w:rsidRPr="00565D91" w:rsidRDefault="00565D91" w:rsidP="00DE2F43">
            <w:pPr>
              <w:rPr>
                <w:b/>
                <w:sz w:val="20"/>
                <w:szCs w:val="20"/>
              </w:rPr>
            </w:pPr>
            <w:r w:rsidRPr="00565D91">
              <w:rPr>
                <w:b/>
                <w:sz w:val="20"/>
                <w:szCs w:val="20"/>
              </w:rPr>
              <w:t>9,628</w:t>
            </w:r>
          </w:p>
        </w:tc>
        <w:tc>
          <w:tcPr>
            <w:tcW w:w="1276" w:type="dxa"/>
          </w:tcPr>
          <w:p w:rsidR="00565D91" w:rsidRPr="00565D91" w:rsidRDefault="00565D91" w:rsidP="00DE2F43">
            <w:pPr>
              <w:rPr>
                <w:b/>
                <w:sz w:val="20"/>
                <w:szCs w:val="20"/>
              </w:rPr>
            </w:pPr>
            <w:r w:rsidRPr="00565D91">
              <w:rPr>
                <w:b/>
                <w:sz w:val="20"/>
                <w:szCs w:val="20"/>
              </w:rPr>
              <w:t>9,882</w:t>
            </w:r>
          </w:p>
        </w:tc>
        <w:tc>
          <w:tcPr>
            <w:tcW w:w="1417" w:type="dxa"/>
          </w:tcPr>
          <w:p w:rsidR="00565D91" w:rsidRPr="00565D91" w:rsidRDefault="00565D91" w:rsidP="00DE2F43">
            <w:pPr>
              <w:rPr>
                <w:b/>
                <w:sz w:val="20"/>
                <w:szCs w:val="20"/>
              </w:rPr>
            </w:pPr>
            <w:r w:rsidRPr="00565D91">
              <w:rPr>
                <w:b/>
                <w:sz w:val="20"/>
                <w:szCs w:val="20"/>
              </w:rPr>
              <w:t>10,207</w:t>
            </w:r>
          </w:p>
        </w:tc>
      </w:tr>
    </w:tbl>
    <w:p w:rsidR="007440C5" w:rsidRPr="007440C5" w:rsidRDefault="007440C5" w:rsidP="00565D91">
      <w:pPr>
        <w:spacing w:before="240" w:after="0"/>
        <w:ind w:left="720"/>
      </w:pPr>
      <w:r w:rsidRPr="007440C5">
        <w:t>For 2014/15, a significant part of the drop in numbers from 2013/14 is accounted for by a number of particularly large cohorts recruited in 2011/12 feeding out of the system.</w:t>
      </w:r>
    </w:p>
    <w:p w:rsidR="007440C5" w:rsidRPr="007440C5" w:rsidRDefault="007440C5" w:rsidP="00565D91">
      <w:pPr>
        <w:spacing w:before="120" w:after="100" w:afterAutospacing="1"/>
        <w:ind w:left="720"/>
      </w:pPr>
      <w:r w:rsidRPr="007440C5">
        <w:t xml:space="preserve">Mindful of the need for a radical approach, the University has formulated a new corporate strategy focused on strong self-redefinition towards a clearer identity, purpose and market position as a prerequisite for flourishing and indeed survival into the long term. The new set of strategic documentation will supersede the existing plan </w:t>
      </w:r>
      <w:proofErr w:type="gramStart"/>
      <w:r w:rsidRPr="007440C5">
        <w:rPr>
          <w:i/>
        </w:rPr>
        <w:t>Making</w:t>
      </w:r>
      <w:proofErr w:type="gramEnd"/>
      <w:r w:rsidRPr="007440C5">
        <w:rPr>
          <w:i/>
        </w:rPr>
        <w:t xml:space="preserve"> knowledge work </w:t>
      </w:r>
      <w:r w:rsidRPr="007440C5">
        <w:t>and is currently out for internal consultation and therefore embargoed in its detail. However, discussions with senior management have given some insight into the broad shape of the new strategy for release into the public domain. Supported by a new Vice-Chancellor and senior management team, the new strategy will:</w:t>
      </w:r>
    </w:p>
    <w:p w:rsidR="007440C5" w:rsidRPr="007440C5" w:rsidRDefault="007440C5" w:rsidP="00565D91">
      <w:pPr>
        <w:numPr>
          <w:ilvl w:val="0"/>
          <w:numId w:val="16"/>
        </w:numPr>
        <w:spacing w:before="120" w:after="0"/>
        <w:ind w:left="993" w:hanging="273"/>
        <w:contextualSpacing/>
      </w:pPr>
      <w:r w:rsidRPr="007440C5">
        <w:t>realign the University’s identity and vision to accord with its heritage as a provider of technology-focused higher education</w:t>
      </w:r>
    </w:p>
    <w:p w:rsidR="007440C5" w:rsidRPr="007440C5" w:rsidRDefault="007440C5" w:rsidP="00565D91">
      <w:pPr>
        <w:numPr>
          <w:ilvl w:val="0"/>
          <w:numId w:val="16"/>
        </w:numPr>
        <w:spacing w:before="120" w:after="0"/>
        <w:ind w:left="993" w:hanging="273"/>
        <w:contextualSpacing/>
      </w:pPr>
      <w:proofErr w:type="gramStart"/>
      <w:r w:rsidRPr="007440C5">
        <w:t>place</w:t>
      </w:r>
      <w:proofErr w:type="gramEnd"/>
      <w:r w:rsidRPr="007440C5">
        <w:t xml:space="preserve"> strong emphasis on improving quality. In particular, this will involve building on academic and research strengths and ensuring that the academic portfolio is robust and attractive to prospective students </w:t>
      </w:r>
    </w:p>
    <w:p w:rsidR="007440C5" w:rsidRPr="007440C5" w:rsidRDefault="007440C5" w:rsidP="00565D91">
      <w:pPr>
        <w:numPr>
          <w:ilvl w:val="0"/>
          <w:numId w:val="16"/>
        </w:numPr>
        <w:spacing w:before="120" w:after="0"/>
        <w:ind w:left="993" w:hanging="273"/>
        <w:contextualSpacing/>
      </w:pPr>
      <w:proofErr w:type="gramStart"/>
      <w:r w:rsidRPr="007440C5">
        <w:t>give</w:t>
      </w:r>
      <w:proofErr w:type="gramEnd"/>
      <w:r w:rsidRPr="007440C5">
        <w:t xml:space="preserve"> renewed attention to professional services. Specifically, in the context of student numbers, considerably greater emphasis will be placed on the institution’s marketing function.</w:t>
      </w:r>
    </w:p>
    <w:p w:rsidR="007440C5" w:rsidRPr="007440C5" w:rsidRDefault="007440C5" w:rsidP="00565D91">
      <w:pPr>
        <w:spacing w:before="120" w:after="100" w:afterAutospacing="1"/>
        <w:ind w:firstLine="720"/>
      </w:pPr>
      <w:r w:rsidRPr="007440C5">
        <w:t>From this, we infer that the strategy is likely to produce a new focus on:</w:t>
      </w:r>
    </w:p>
    <w:p w:rsidR="007440C5" w:rsidRPr="007440C5" w:rsidRDefault="007440C5" w:rsidP="00565D91">
      <w:pPr>
        <w:numPr>
          <w:ilvl w:val="0"/>
          <w:numId w:val="17"/>
        </w:numPr>
        <w:spacing w:before="120" w:after="0"/>
        <w:ind w:left="993" w:hanging="273"/>
        <w:contextualSpacing/>
      </w:pPr>
      <w:r w:rsidRPr="007440C5">
        <w:t xml:space="preserve">the quality of applicants’ academic achievements, which could result in a short-term dip in intake </w:t>
      </w:r>
    </w:p>
    <w:p w:rsidR="007440C5" w:rsidRPr="007440C5" w:rsidRDefault="007440C5" w:rsidP="00565D91">
      <w:pPr>
        <w:numPr>
          <w:ilvl w:val="0"/>
          <w:numId w:val="17"/>
        </w:numPr>
        <w:spacing w:before="120" w:after="0"/>
        <w:ind w:left="993" w:hanging="273"/>
        <w:contextualSpacing/>
      </w:pPr>
      <w:proofErr w:type="gramStart"/>
      <w:r w:rsidRPr="007440C5">
        <w:t>recruitment</w:t>
      </w:r>
      <w:proofErr w:type="gramEnd"/>
      <w:r w:rsidRPr="007440C5">
        <w:t xml:space="preserve"> beyond Bradford (including internationally), shifting the balance of its intake and, in time, its total student population away from its local base towards a wider geographical pool (although this diversification may not depress actual numbers of local students recruited). Such a shift would increase the proportion of the student population with a residential need from its current base.</w:t>
      </w:r>
    </w:p>
    <w:p w:rsidR="007440C5" w:rsidRPr="007440C5" w:rsidRDefault="007440C5" w:rsidP="007440C5">
      <w:pPr>
        <w:spacing w:before="120" w:after="0"/>
        <w:ind w:left="709"/>
      </w:pPr>
      <w:r w:rsidRPr="007440C5">
        <w:t>In support of expansion, a continuing upward trajectory in the numbers of young people in Bradford and surrounding areas bucks the national demographic trend. While, it is inferred, the University plans to diversify its geographic profile, this factor will nonetheless provide a sound basis for local recruitment which will remain a core market. On a similarly positive note, the recent drop nationally in international student numbers from the Indian sub-continent has only a limited impact on the University, for which parts of Africa provide a key recruiting ground and remain a buoyant sub-market. There are then some factors which might help reverse the decline in residential demand seen since 2011/12.</w:t>
      </w:r>
    </w:p>
    <w:p w:rsidR="007440C5" w:rsidRPr="007440C5" w:rsidRDefault="007440C5" w:rsidP="007440C5">
      <w:pPr>
        <w:spacing w:before="120" w:after="0"/>
        <w:ind w:left="709"/>
      </w:pPr>
      <w:r w:rsidRPr="007440C5">
        <w:t xml:space="preserve">Beyond the success of the University’s new strategy and its effective implementation, the strength of benchmark institutions and the future direction of national policy will be significant determinants of </w:t>
      </w:r>
      <w:r w:rsidRPr="007440C5">
        <w:lastRenderedPageBreak/>
        <w:t xml:space="preserve">how the University fares in the newly </w:t>
      </w:r>
      <w:proofErr w:type="spellStart"/>
      <w:r w:rsidRPr="007440C5">
        <w:t>marketised</w:t>
      </w:r>
      <w:proofErr w:type="spellEnd"/>
      <w:r w:rsidRPr="007440C5">
        <w:t xml:space="preserve"> world. In what remains a highly uncertain environment, we conclude, cautiously, that it is very unlikely the institution will exceed projected intake levels within the planning horizon. </w:t>
      </w:r>
    </w:p>
    <w:p w:rsidR="007440C5" w:rsidRPr="007440C5" w:rsidRDefault="007440C5" w:rsidP="007440C5">
      <w:pPr>
        <w:spacing w:before="120" w:after="0"/>
      </w:pPr>
      <w:r w:rsidRPr="007440C5">
        <w:t>3.2.2</w:t>
      </w:r>
      <w:r w:rsidRPr="007440C5">
        <w:tab/>
      </w:r>
      <w:r w:rsidRPr="00565D91">
        <w:rPr>
          <w:i/>
        </w:rPr>
        <w:t>Bradford College</w:t>
      </w:r>
    </w:p>
    <w:p w:rsidR="00DB1FEC" w:rsidRDefault="005A3F93" w:rsidP="007440C5">
      <w:pPr>
        <w:spacing w:before="120" w:after="0"/>
        <w:ind w:left="720"/>
      </w:pPr>
      <w:r>
        <w:t>Bradford College ha</w:t>
      </w:r>
      <w:r w:rsidR="00565D91">
        <w:t>s</w:t>
      </w:r>
      <w:r>
        <w:t xml:space="preserve"> not provided data on historic student numbers or on student number plans for the next five years. This report therefore relies on data publicly available from UCAS on full-time higher education acceptances for the College.</w:t>
      </w:r>
      <w:r w:rsidR="00B63CFA">
        <w:t xml:space="preserve"> </w:t>
      </w:r>
      <w:r w:rsidR="00DB1FEC">
        <w:t xml:space="preserve">These, however, do not include 2014. </w:t>
      </w:r>
      <w:r w:rsidR="00B63CFA">
        <w:t xml:space="preserve">It is likely that the figures slightly understate the true position on student numbers as </w:t>
      </w:r>
      <w:r w:rsidR="00DB1FEC">
        <w:t>some</w:t>
      </w:r>
      <w:r w:rsidR="00B63CFA">
        <w:t xml:space="preserve"> may have been admitted through alternative routes.</w:t>
      </w:r>
    </w:p>
    <w:p w:rsidR="00DB1FEC" w:rsidRDefault="00DB1FEC" w:rsidP="00565D91">
      <w:pPr>
        <w:tabs>
          <w:tab w:val="left" w:pos="1701"/>
        </w:tabs>
        <w:spacing w:before="120" w:after="100" w:afterAutospacing="1"/>
        <w:ind w:left="720"/>
        <w:rPr>
          <w:i/>
        </w:rPr>
      </w:pPr>
      <w:r w:rsidRPr="007440C5">
        <w:rPr>
          <w:i/>
        </w:rPr>
        <w:t>Table 21:</w:t>
      </w:r>
      <w:r w:rsidR="00565D91">
        <w:rPr>
          <w:i/>
        </w:rPr>
        <w:tab/>
      </w:r>
      <w:r w:rsidRPr="007440C5">
        <w:rPr>
          <w:i/>
        </w:rPr>
        <w:t>Bradford College: full-time HE acceptances 2009-13</w:t>
      </w:r>
    </w:p>
    <w:tbl>
      <w:tblPr>
        <w:tblStyle w:val="TableGrid"/>
        <w:tblW w:w="0" w:type="auto"/>
        <w:tblInd w:w="817" w:type="dxa"/>
        <w:tblLook w:val="04A0" w:firstRow="1" w:lastRow="0" w:firstColumn="1" w:lastColumn="0" w:noHBand="0" w:noVBand="1"/>
      </w:tblPr>
      <w:tblGrid>
        <w:gridCol w:w="1414"/>
        <w:gridCol w:w="712"/>
        <w:gridCol w:w="709"/>
        <w:gridCol w:w="709"/>
        <w:gridCol w:w="709"/>
        <w:gridCol w:w="708"/>
      </w:tblGrid>
      <w:tr w:rsidR="00DB1FEC" w:rsidTr="00DB1FEC">
        <w:tc>
          <w:tcPr>
            <w:tcW w:w="1414" w:type="dxa"/>
          </w:tcPr>
          <w:p w:rsidR="00DB1FEC" w:rsidRPr="00565D91" w:rsidRDefault="00DB1FEC" w:rsidP="00F31774">
            <w:pPr>
              <w:rPr>
                <w:sz w:val="20"/>
                <w:szCs w:val="20"/>
              </w:rPr>
            </w:pPr>
          </w:p>
        </w:tc>
        <w:tc>
          <w:tcPr>
            <w:tcW w:w="712" w:type="dxa"/>
          </w:tcPr>
          <w:p w:rsidR="00DB1FEC" w:rsidRPr="00565D91" w:rsidRDefault="00DB1FEC" w:rsidP="00F31774">
            <w:pPr>
              <w:rPr>
                <w:b/>
                <w:sz w:val="20"/>
                <w:szCs w:val="20"/>
              </w:rPr>
            </w:pPr>
            <w:r w:rsidRPr="00565D91">
              <w:rPr>
                <w:b/>
                <w:sz w:val="20"/>
                <w:szCs w:val="20"/>
              </w:rPr>
              <w:t>2009</w:t>
            </w:r>
          </w:p>
        </w:tc>
        <w:tc>
          <w:tcPr>
            <w:tcW w:w="709" w:type="dxa"/>
          </w:tcPr>
          <w:p w:rsidR="00DB1FEC" w:rsidRPr="00565D91" w:rsidRDefault="00DB1FEC" w:rsidP="00F31774">
            <w:pPr>
              <w:rPr>
                <w:b/>
                <w:sz w:val="20"/>
                <w:szCs w:val="20"/>
              </w:rPr>
            </w:pPr>
            <w:r w:rsidRPr="00565D91">
              <w:rPr>
                <w:b/>
                <w:sz w:val="20"/>
                <w:szCs w:val="20"/>
              </w:rPr>
              <w:t>2010</w:t>
            </w:r>
          </w:p>
        </w:tc>
        <w:tc>
          <w:tcPr>
            <w:tcW w:w="709" w:type="dxa"/>
          </w:tcPr>
          <w:p w:rsidR="00DB1FEC" w:rsidRPr="00565D91" w:rsidRDefault="00DB1FEC" w:rsidP="00F31774">
            <w:pPr>
              <w:rPr>
                <w:b/>
                <w:sz w:val="20"/>
                <w:szCs w:val="20"/>
              </w:rPr>
            </w:pPr>
            <w:r w:rsidRPr="00565D91">
              <w:rPr>
                <w:b/>
                <w:sz w:val="20"/>
                <w:szCs w:val="20"/>
              </w:rPr>
              <w:t>2011</w:t>
            </w:r>
          </w:p>
        </w:tc>
        <w:tc>
          <w:tcPr>
            <w:tcW w:w="709" w:type="dxa"/>
          </w:tcPr>
          <w:p w:rsidR="00DB1FEC" w:rsidRPr="00565D91" w:rsidRDefault="00DB1FEC" w:rsidP="00F31774">
            <w:pPr>
              <w:rPr>
                <w:b/>
                <w:sz w:val="20"/>
                <w:szCs w:val="20"/>
              </w:rPr>
            </w:pPr>
            <w:r w:rsidRPr="00565D91">
              <w:rPr>
                <w:b/>
                <w:sz w:val="20"/>
                <w:szCs w:val="20"/>
              </w:rPr>
              <w:t>2012</w:t>
            </w:r>
          </w:p>
        </w:tc>
        <w:tc>
          <w:tcPr>
            <w:tcW w:w="708" w:type="dxa"/>
          </w:tcPr>
          <w:p w:rsidR="00DB1FEC" w:rsidRPr="00565D91" w:rsidRDefault="00DB1FEC" w:rsidP="00F31774">
            <w:pPr>
              <w:rPr>
                <w:b/>
                <w:sz w:val="20"/>
                <w:szCs w:val="20"/>
              </w:rPr>
            </w:pPr>
            <w:r w:rsidRPr="00565D91">
              <w:rPr>
                <w:b/>
                <w:sz w:val="20"/>
                <w:szCs w:val="20"/>
              </w:rPr>
              <w:t>2013</w:t>
            </w:r>
          </w:p>
        </w:tc>
      </w:tr>
      <w:tr w:rsidR="00DB1FEC" w:rsidTr="00DB1FEC">
        <w:tc>
          <w:tcPr>
            <w:tcW w:w="1414" w:type="dxa"/>
          </w:tcPr>
          <w:p w:rsidR="00DB1FEC" w:rsidRPr="00565D91" w:rsidRDefault="00DB1FEC" w:rsidP="00F31774">
            <w:pPr>
              <w:rPr>
                <w:b/>
                <w:sz w:val="20"/>
                <w:szCs w:val="20"/>
              </w:rPr>
            </w:pPr>
            <w:r w:rsidRPr="00565D91">
              <w:rPr>
                <w:b/>
                <w:sz w:val="20"/>
                <w:szCs w:val="20"/>
              </w:rPr>
              <w:t>UK</w:t>
            </w:r>
          </w:p>
        </w:tc>
        <w:tc>
          <w:tcPr>
            <w:tcW w:w="712" w:type="dxa"/>
          </w:tcPr>
          <w:p w:rsidR="00DB1FEC" w:rsidRPr="00565D91" w:rsidRDefault="00DB1FEC" w:rsidP="00F31774">
            <w:pPr>
              <w:rPr>
                <w:sz w:val="20"/>
                <w:szCs w:val="20"/>
              </w:rPr>
            </w:pPr>
            <w:r w:rsidRPr="00565D91">
              <w:rPr>
                <w:sz w:val="20"/>
                <w:szCs w:val="20"/>
              </w:rPr>
              <w:t>920</w:t>
            </w:r>
          </w:p>
        </w:tc>
        <w:tc>
          <w:tcPr>
            <w:tcW w:w="709" w:type="dxa"/>
          </w:tcPr>
          <w:p w:rsidR="00DB1FEC" w:rsidRPr="00565D91" w:rsidRDefault="00DB1FEC" w:rsidP="00F31774">
            <w:pPr>
              <w:rPr>
                <w:sz w:val="20"/>
                <w:szCs w:val="20"/>
              </w:rPr>
            </w:pPr>
            <w:r w:rsidRPr="00565D91">
              <w:rPr>
                <w:sz w:val="20"/>
                <w:szCs w:val="20"/>
              </w:rPr>
              <w:t>835</w:t>
            </w:r>
          </w:p>
        </w:tc>
        <w:tc>
          <w:tcPr>
            <w:tcW w:w="709" w:type="dxa"/>
          </w:tcPr>
          <w:p w:rsidR="00DB1FEC" w:rsidRPr="00565D91" w:rsidRDefault="00DB1FEC" w:rsidP="00F31774">
            <w:pPr>
              <w:rPr>
                <w:sz w:val="20"/>
                <w:szCs w:val="20"/>
              </w:rPr>
            </w:pPr>
            <w:r w:rsidRPr="00565D91">
              <w:rPr>
                <w:sz w:val="20"/>
                <w:szCs w:val="20"/>
              </w:rPr>
              <w:t>890</w:t>
            </w:r>
          </w:p>
        </w:tc>
        <w:tc>
          <w:tcPr>
            <w:tcW w:w="709" w:type="dxa"/>
          </w:tcPr>
          <w:p w:rsidR="00DB1FEC" w:rsidRPr="00565D91" w:rsidRDefault="00DB1FEC" w:rsidP="00F31774">
            <w:pPr>
              <w:rPr>
                <w:sz w:val="20"/>
                <w:szCs w:val="20"/>
              </w:rPr>
            </w:pPr>
            <w:r w:rsidRPr="00565D91">
              <w:rPr>
                <w:sz w:val="20"/>
                <w:szCs w:val="20"/>
              </w:rPr>
              <w:t>825</w:t>
            </w:r>
          </w:p>
        </w:tc>
        <w:tc>
          <w:tcPr>
            <w:tcW w:w="708" w:type="dxa"/>
          </w:tcPr>
          <w:p w:rsidR="00DB1FEC" w:rsidRPr="00565D91" w:rsidRDefault="00DB1FEC" w:rsidP="00F31774">
            <w:pPr>
              <w:rPr>
                <w:sz w:val="20"/>
                <w:szCs w:val="20"/>
              </w:rPr>
            </w:pPr>
            <w:r w:rsidRPr="00565D91">
              <w:rPr>
                <w:sz w:val="20"/>
                <w:szCs w:val="20"/>
              </w:rPr>
              <w:t>750</w:t>
            </w:r>
          </w:p>
        </w:tc>
      </w:tr>
      <w:tr w:rsidR="00DB1FEC" w:rsidTr="00DB1FEC">
        <w:tc>
          <w:tcPr>
            <w:tcW w:w="1414" w:type="dxa"/>
          </w:tcPr>
          <w:p w:rsidR="00DB1FEC" w:rsidRPr="00565D91" w:rsidRDefault="00565D91" w:rsidP="00F31774">
            <w:pPr>
              <w:rPr>
                <w:b/>
                <w:sz w:val="20"/>
                <w:szCs w:val="20"/>
              </w:rPr>
            </w:pPr>
            <w:r w:rsidRPr="00565D91">
              <w:rPr>
                <w:b/>
                <w:sz w:val="20"/>
                <w:szCs w:val="20"/>
              </w:rPr>
              <w:t xml:space="preserve">Other </w:t>
            </w:r>
            <w:r w:rsidR="00DB1FEC" w:rsidRPr="00565D91">
              <w:rPr>
                <w:b/>
                <w:sz w:val="20"/>
                <w:szCs w:val="20"/>
              </w:rPr>
              <w:t>EU</w:t>
            </w:r>
          </w:p>
        </w:tc>
        <w:tc>
          <w:tcPr>
            <w:tcW w:w="712" w:type="dxa"/>
          </w:tcPr>
          <w:p w:rsidR="00DB1FEC" w:rsidRPr="00565D91" w:rsidRDefault="00DB1FEC" w:rsidP="00F31774">
            <w:pPr>
              <w:rPr>
                <w:sz w:val="20"/>
                <w:szCs w:val="20"/>
              </w:rPr>
            </w:pPr>
            <w:r w:rsidRPr="00565D91">
              <w:rPr>
                <w:sz w:val="20"/>
                <w:szCs w:val="20"/>
              </w:rPr>
              <w:t>5</w:t>
            </w:r>
          </w:p>
        </w:tc>
        <w:tc>
          <w:tcPr>
            <w:tcW w:w="709" w:type="dxa"/>
          </w:tcPr>
          <w:p w:rsidR="00DB1FEC" w:rsidRPr="00565D91" w:rsidRDefault="00DB1FEC" w:rsidP="00F31774">
            <w:pPr>
              <w:rPr>
                <w:sz w:val="20"/>
                <w:szCs w:val="20"/>
              </w:rPr>
            </w:pPr>
            <w:r w:rsidRPr="00565D91">
              <w:rPr>
                <w:sz w:val="20"/>
                <w:szCs w:val="20"/>
              </w:rPr>
              <w:t>5</w:t>
            </w:r>
          </w:p>
        </w:tc>
        <w:tc>
          <w:tcPr>
            <w:tcW w:w="709" w:type="dxa"/>
          </w:tcPr>
          <w:p w:rsidR="00DB1FEC" w:rsidRPr="00565D91" w:rsidRDefault="00DB1FEC" w:rsidP="00F31774">
            <w:pPr>
              <w:rPr>
                <w:sz w:val="20"/>
                <w:szCs w:val="20"/>
              </w:rPr>
            </w:pPr>
            <w:r w:rsidRPr="00565D91">
              <w:rPr>
                <w:sz w:val="20"/>
                <w:szCs w:val="20"/>
              </w:rPr>
              <w:t>10</w:t>
            </w:r>
          </w:p>
        </w:tc>
        <w:tc>
          <w:tcPr>
            <w:tcW w:w="709" w:type="dxa"/>
          </w:tcPr>
          <w:p w:rsidR="00DB1FEC" w:rsidRPr="00565D91" w:rsidRDefault="00DB1FEC" w:rsidP="00F31774">
            <w:pPr>
              <w:rPr>
                <w:sz w:val="20"/>
                <w:szCs w:val="20"/>
              </w:rPr>
            </w:pPr>
            <w:r w:rsidRPr="00565D91">
              <w:rPr>
                <w:sz w:val="20"/>
                <w:szCs w:val="20"/>
              </w:rPr>
              <w:t>5</w:t>
            </w:r>
          </w:p>
        </w:tc>
        <w:tc>
          <w:tcPr>
            <w:tcW w:w="708" w:type="dxa"/>
          </w:tcPr>
          <w:p w:rsidR="00DB1FEC" w:rsidRPr="00565D91" w:rsidRDefault="00DB1FEC" w:rsidP="00F31774">
            <w:pPr>
              <w:rPr>
                <w:sz w:val="20"/>
                <w:szCs w:val="20"/>
              </w:rPr>
            </w:pPr>
            <w:r w:rsidRPr="00565D91">
              <w:rPr>
                <w:sz w:val="20"/>
                <w:szCs w:val="20"/>
              </w:rPr>
              <w:t>5</w:t>
            </w:r>
          </w:p>
        </w:tc>
      </w:tr>
      <w:tr w:rsidR="00DB1FEC" w:rsidTr="00DB1FEC">
        <w:tc>
          <w:tcPr>
            <w:tcW w:w="1414" w:type="dxa"/>
          </w:tcPr>
          <w:p w:rsidR="00DB1FEC" w:rsidRPr="00565D91" w:rsidRDefault="00565D91" w:rsidP="00565D91">
            <w:pPr>
              <w:rPr>
                <w:b/>
                <w:sz w:val="20"/>
                <w:szCs w:val="20"/>
              </w:rPr>
            </w:pPr>
            <w:r w:rsidRPr="00565D91">
              <w:rPr>
                <w:b/>
                <w:sz w:val="20"/>
                <w:szCs w:val="20"/>
              </w:rPr>
              <w:t>Non-EU</w:t>
            </w:r>
          </w:p>
        </w:tc>
        <w:tc>
          <w:tcPr>
            <w:tcW w:w="712" w:type="dxa"/>
          </w:tcPr>
          <w:p w:rsidR="00DB1FEC" w:rsidRPr="00565D91" w:rsidRDefault="00DB1FEC" w:rsidP="00F31774">
            <w:pPr>
              <w:rPr>
                <w:sz w:val="20"/>
                <w:szCs w:val="20"/>
              </w:rPr>
            </w:pPr>
            <w:r w:rsidRPr="00565D91">
              <w:rPr>
                <w:sz w:val="20"/>
                <w:szCs w:val="20"/>
              </w:rPr>
              <w:t>55</w:t>
            </w:r>
          </w:p>
        </w:tc>
        <w:tc>
          <w:tcPr>
            <w:tcW w:w="709" w:type="dxa"/>
          </w:tcPr>
          <w:p w:rsidR="00DB1FEC" w:rsidRPr="00565D91" w:rsidRDefault="00DB1FEC" w:rsidP="00F31774">
            <w:pPr>
              <w:rPr>
                <w:sz w:val="20"/>
                <w:szCs w:val="20"/>
              </w:rPr>
            </w:pPr>
            <w:r w:rsidRPr="00565D91">
              <w:rPr>
                <w:sz w:val="20"/>
                <w:szCs w:val="20"/>
              </w:rPr>
              <w:t>100</w:t>
            </w:r>
          </w:p>
        </w:tc>
        <w:tc>
          <w:tcPr>
            <w:tcW w:w="709" w:type="dxa"/>
          </w:tcPr>
          <w:p w:rsidR="00DB1FEC" w:rsidRPr="00565D91" w:rsidRDefault="00DB1FEC" w:rsidP="00F31774">
            <w:pPr>
              <w:rPr>
                <w:sz w:val="20"/>
                <w:szCs w:val="20"/>
              </w:rPr>
            </w:pPr>
            <w:r w:rsidRPr="00565D91">
              <w:rPr>
                <w:sz w:val="20"/>
                <w:szCs w:val="20"/>
              </w:rPr>
              <w:t>5</w:t>
            </w:r>
          </w:p>
        </w:tc>
        <w:tc>
          <w:tcPr>
            <w:tcW w:w="709" w:type="dxa"/>
          </w:tcPr>
          <w:p w:rsidR="00DB1FEC" w:rsidRPr="00565D91" w:rsidRDefault="00DB1FEC" w:rsidP="00F31774">
            <w:pPr>
              <w:rPr>
                <w:sz w:val="20"/>
                <w:szCs w:val="20"/>
              </w:rPr>
            </w:pPr>
            <w:r w:rsidRPr="00565D91">
              <w:rPr>
                <w:sz w:val="20"/>
                <w:szCs w:val="20"/>
              </w:rPr>
              <w:t>10</w:t>
            </w:r>
          </w:p>
        </w:tc>
        <w:tc>
          <w:tcPr>
            <w:tcW w:w="708" w:type="dxa"/>
          </w:tcPr>
          <w:p w:rsidR="00DB1FEC" w:rsidRPr="00565D91" w:rsidRDefault="00DB1FEC" w:rsidP="00F31774">
            <w:pPr>
              <w:rPr>
                <w:sz w:val="20"/>
                <w:szCs w:val="20"/>
              </w:rPr>
            </w:pPr>
            <w:r w:rsidRPr="00565D91">
              <w:rPr>
                <w:sz w:val="20"/>
                <w:szCs w:val="20"/>
              </w:rPr>
              <w:t>25</w:t>
            </w:r>
          </w:p>
        </w:tc>
      </w:tr>
      <w:tr w:rsidR="00DB1FEC" w:rsidTr="00DB1FEC">
        <w:tc>
          <w:tcPr>
            <w:tcW w:w="1414" w:type="dxa"/>
          </w:tcPr>
          <w:p w:rsidR="00DB1FEC" w:rsidRPr="00565D91" w:rsidRDefault="00DB1FEC" w:rsidP="00F31774">
            <w:pPr>
              <w:rPr>
                <w:b/>
                <w:sz w:val="20"/>
                <w:szCs w:val="20"/>
              </w:rPr>
            </w:pPr>
            <w:r w:rsidRPr="00565D91">
              <w:rPr>
                <w:b/>
                <w:sz w:val="20"/>
                <w:szCs w:val="20"/>
              </w:rPr>
              <w:t>TOTAL</w:t>
            </w:r>
          </w:p>
        </w:tc>
        <w:tc>
          <w:tcPr>
            <w:tcW w:w="712" w:type="dxa"/>
          </w:tcPr>
          <w:p w:rsidR="00DB1FEC" w:rsidRPr="00565D91" w:rsidRDefault="00DB1FEC" w:rsidP="00F31774">
            <w:pPr>
              <w:rPr>
                <w:sz w:val="20"/>
                <w:szCs w:val="20"/>
              </w:rPr>
            </w:pPr>
            <w:r w:rsidRPr="00565D91">
              <w:rPr>
                <w:sz w:val="20"/>
                <w:szCs w:val="20"/>
              </w:rPr>
              <w:t>980</w:t>
            </w:r>
          </w:p>
        </w:tc>
        <w:tc>
          <w:tcPr>
            <w:tcW w:w="709" w:type="dxa"/>
          </w:tcPr>
          <w:p w:rsidR="00DB1FEC" w:rsidRPr="00565D91" w:rsidRDefault="00DB1FEC" w:rsidP="00F31774">
            <w:pPr>
              <w:rPr>
                <w:sz w:val="20"/>
                <w:szCs w:val="20"/>
              </w:rPr>
            </w:pPr>
            <w:r w:rsidRPr="00565D91">
              <w:rPr>
                <w:sz w:val="20"/>
                <w:szCs w:val="20"/>
              </w:rPr>
              <w:t>940</w:t>
            </w:r>
          </w:p>
        </w:tc>
        <w:tc>
          <w:tcPr>
            <w:tcW w:w="709" w:type="dxa"/>
          </w:tcPr>
          <w:p w:rsidR="00DB1FEC" w:rsidRPr="00565D91" w:rsidRDefault="00DB1FEC" w:rsidP="00F31774">
            <w:pPr>
              <w:rPr>
                <w:sz w:val="20"/>
                <w:szCs w:val="20"/>
              </w:rPr>
            </w:pPr>
            <w:r w:rsidRPr="00565D91">
              <w:rPr>
                <w:sz w:val="20"/>
                <w:szCs w:val="20"/>
              </w:rPr>
              <w:t>905</w:t>
            </w:r>
          </w:p>
        </w:tc>
        <w:tc>
          <w:tcPr>
            <w:tcW w:w="709" w:type="dxa"/>
          </w:tcPr>
          <w:p w:rsidR="00DB1FEC" w:rsidRPr="00565D91" w:rsidRDefault="00DB1FEC" w:rsidP="00F31774">
            <w:pPr>
              <w:rPr>
                <w:sz w:val="20"/>
                <w:szCs w:val="20"/>
              </w:rPr>
            </w:pPr>
            <w:r w:rsidRPr="00565D91">
              <w:rPr>
                <w:sz w:val="20"/>
                <w:szCs w:val="20"/>
              </w:rPr>
              <w:t>840</w:t>
            </w:r>
          </w:p>
        </w:tc>
        <w:tc>
          <w:tcPr>
            <w:tcW w:w="708" w:type="dxa"/>
          </w:tcPr>
          <w:p w:rsidR="00DB1FEC" w:rsidRPr="00565D91" w:rsidRDefault="00DB1FEC" w:rsidP="00F31774">
            <w:pPr>
              <w:rPr>
                <w:sz w:val="20"/>
                <w:szCs w:val="20"/>
              </w:rPr>
            </w:pPr>
            <w:r w:rsidRPr="00565D91">
              <w:rPr>
                <w:sz w:val="20"/>
                <w:szCs w:val="20"/>
              </w:rPr>
              <w:t>780</w:t>
            </w:r>
          </w:p>
        </w:tc>
      </w:tr>
    </w:tbl>
    <w:p w:rsidR="002117CD" w:rsidRDefault="002117CD" w:rsidP="007440C5">
      <w:pPr>
        <w:spacing w:before="120" w:after="0"/>
        <w:ind w:firstLine="720"/>
        <w:rPr>
          <w:i/>
        </w:rPr>
      </w:pPr>
    </w:p>
    <w:p w:rsidR="007440C5" w:rsidRPr="007440C5" w:rsidRDefault="007440C5" w:rsidP="002117CD">
      <w:pPr>
        <w:spacing w:after="0"/>
        <w:ind w:firstLine="720"/>
        <w:rPr>
          <w:i/>
        </w:rPr>
      </w:pPr>
      <w:r w:rsidRPr="007440C5">
        <w:rPr>
          <w:i/>
        </w:rPr>
        <w:t>Graph 6: Bradford College: full-time HE acceptances 2009-13</w:t>
      </w:r>
    </w:p>
    <w:p w:rsidR="007440C5" w:rsidRPr="007440C5" w:rsidRDefault="007440C5" w:rsidP="007440C5">
      <w:pPr>
        <w:spacing w:before="120" w:after="0"/>
      </w:pPr>
      <w:r w:rsidRPr="007440C5">
        <w:rPr>
          <w:noProof/>
          <w:lang w:eastAsia="en-GB"/>
        </w:rPr>
        <w:drawing>
          <wp:anchor distT="0" distB="0" distL="114300" distR="114300" simplePos="0" relativeHeight="251663360" behindDoc="0" locked="0" layoutInCell="1" allowOverlap="1" wp14:anchorId="55C46E7A" wp14:editId="6BCF25F2">
            <wp:simplePos x="0" y="0"/>
            <wp:positionH relativeFrom="column">
              <wp:posOffset>459105</wp:posOffset>
            </wp:positionH>
            <wp:positionV relativeFrom="paragraph">
              <wp:posOffset>224790</wp:posOffset>
            </wp:positionV>
            <wp:extent cx="4438650" cy="2495550"/>
            <wp:effectExtent l="0" t="0" r="19050" b="1905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rPr>
          <w:i/>
        </w:rPr>
      </w:pPr>
    </w:p>
    <w:p w:rsidR="007440C5" w:rsidRPr="007440C5" w:rsidRDefault="007440C5" w:rsidP="007440C5">
      <w:pPr>
        <w:spacing w:before="120" w:after="0"/>
        <w:rPr>
          <w:i/>
        </w:rPr>
      </w:pPr>
    </w:p>
    <w:p w:rsidR="00DB1FEC" w:rsidRDefault="00DB1FEC" w:rsidP="007440C5">
      <w:pPr>
        <w:spacing w:before="120" w:after="0"/>
        <w:ind w:firstLine="720"/>
        <w:rPr>
          <w:i/>
        </w:rPr>
      </w:pPr>
    </w:p>
    <w:p w:rsidR="00DB1FEC" w:rsidRDefault="00DB1FEC" w:rsidP="007440C5">
      <w:pPr>
        <w:spacing w:before="120" w:after="0"/>
        <w:ind w:firstLine="720"/>
        <w:rPr>
          <w:i/>
        </w:rPr>
      </w:pPr>
    </w:p>
    <w:p w:rsidR="007440C5" w:rsidRPr="00DB1FEC" w:rsidRDefault="00DB1FEC" w:rsidP="007440C5">
      <w:pPr>
        <w:spacing w:before="120" w:after="0"/>
        <w:ind w:firstLine="720"/>
        <w:rPr>
          <w:sz w:val="18"/>
        </w:rPr>
      </w:pPr>
      <w:r>
        <w:rPr>
          <w:sz w:val="18"/>
        </w:rPr>
        <w:t>(</w:t>
      </w:r>
      <w:r>
        <w:rPr>
          <w:i/>
          <w:sz w:val="18"/>
        </w:rPr>
        <w:t>Source: UCAS</w:t>
      </w:r>
      <w:r>
        <w:rPr>
          <w:sz w:val="18"/>
        </w:rPr>
        <w:t>)</w:t>
      </w:r>
    </w:p>
    <w:p w:rsidR="007440C5" w:rsidRPr="007440C5" w:rsidRDefault="007440C5" w:rsidP="007440C5">
      <w:pPr>
        <w:spacing w:before="120" w:after="0"/>
        <w:ind w:left="720"/>
      </w:pPr>
      <w:r w:rsidRPr="007440C5">
        <w:t xml:space="preserve">If the University showed a limited recovery in student numbers from the 2012/13 low point, Bradford College has experienced a sustained overall decline over the 2009-13 </w:t>
      </w:r>
      <w:proofErr w:type="gramStart"/>
      <w:r w:rsidRPr="007440C5">
        <w:t>period</w:t>
      </w:r>
      <w:proofErr w:type="gramEnd"/>
      <w:r w:rsidRPr="007440C5">
        <w:t xml:space="preserve"> (18.5 per cent). In that time, student numbers from overseas (both EU and non-EU) have fallen away almost entirely. This masks a brief recovery in UK recruitment in 2011 (likely to have been driven by students getting in ahead of the higher fee regime), since when, however, decline in home numbers has been resumed. </w:t>
      </w:r>
    </w:p>
    <w:p w:rsidR="007440C5" w:rsidRPr="007440C5" w:rsidRDefault="007440C5" w:rsidP="007440C5">
      <w:pPr>
        <w:spacing w:before="120" w:after="0"/>
        <w:ind w:firstLine="720"/>
      </w:pPr>
      <w:r w:rsidRPr="007440C5">
        <w:t>In the College’s draft strategy</w:t>
      </w:r>
      <w:r w:rsidRPr="007440C5">
        <w:rPr>
          <w:vertAlign w:val="superscript"/>
        </w:rPr>
        <w:footnoteReference w:id="22"/>
      </w:r>
      <w:r w:rsidRPr="007440C5">
        <w:t xml:space="preserve"> there are explicit references to student number growth:</w:t>
      </w:r>
    </w:p>
    <w:p w:rsidR="007440C5" w:rsidRPr="007440C5" w:rsidRDefault="002117CD" w:rsidP="007440C5">
      <w:pPr>
        <w:numPr>
          <w:ilvl w:val="0"/>
          <w:numId w:val="18"/>
        </w:numPr>
        <w:spacing w:before="120" w:after="0"/>
        <w:ind w:left="1146" w:hanging="426"/>
        <w:contextualSpacing/>
      </w:pPr>
      <w:r>
        <w:t>‘</w:t>
      </w:r>
      <w:r w:rsidR="007440C5" w:rsidRPr="007440C5">
        <w:t>To be the first choice for education and training in the Bradford District, and a leading prov</w:t>
      </w:r>
      <w:r>
        <w:t>ider across the UK and overseas’</w:t>
      </w:r>
    </w:p>
    <w:p w:rsidR="007440C5" w:rsidRDefault="007440C5" w:rsidP="002117CD">
      <w:pPr>
        <w:numPr>
          <w:ilvl w:val="0"/>
          <w:numId w:val="18"/>
        </w:numPr>
        <w:spacing w:after="120"/>
        <w:ind w:left="1146" w:hanging="426"/>
        <w:contextualSpacing/>
      </w:pPr>
      <w:r w:rsidRPr="007440C5">
        <w:lastRenderedPageBreak/>
        <w:t xml:space="preserve">[From a current full-time higher </w:t>
      </w:r>
      <w:r w:rsidR="002117CD">
        <w:t>education population of 2,595] ‘</w:t>
      </w:r>
      <w:proofErr w:type="gramStart"/>
      <w:r w:rsidRPr="007440C5">
        <w:t>we</w:t>
      </w:r>
      <w:proofErr w:type="gramEnd"/>
      <w:r w:rsidRPr="007440C5">
        <w:t xml:space="preserve"> will aim to build our intake of students from within the Bradford District and Leeds City Region, as well as from across the UK. We will continue to welcome and build our in</w:t>
      </w:r>
      <w:r w:rsidR="002117CD">
        <w:t>take of international students.’</w:t>
      </w:r>
    </w:p>
    <w:p w:rsidR="002117CD" w:rsidRPr="007440C5" w:rsidRDefault="002117CD" w:rsidP="002117CD">
      <w:pPr>
        <w:spacing w:after="120"/>
        <w:ind w:left="1146"/>
        <w:contextualSpacing/>
      </w:pPr>
    </w:p>
    <w:p w:rsidR="007440C5" w:rsidRPr="007440C5" w:rsidRDefault="007440C5" w:rsidP="007440C5">
      <w:pPr>
        <w:spacing w:before="120" w:after="0"/>
        <w:ind w:left="720"/>
      </w:pPr>
      <w:r w:rsidRPr="007440C5">
        <w:t>To support its attractiveness to prospective applicants, the College aims to deliver an outstanding student experience by 2020; secure taught degree awarding powers; build on academic areas of strength; expand STEM provision and the College’s educational offer more widely; and invest in teaching and learning, employability, entrepreneurism, the estate, infrastructure and staffing base. Additionally, a critical theme running through the strategy is significantly extending partnership working with various agencies to support, and derive benefit from, economic and demographic growth forecasts for Bradford District and the Leeds City Region.</w:t>
      </w:r>
    </w:p>
    <w:p w:rsidR="002117CD" w:rsidRDefault="007440C5" w:rsidP="002117CD">
      <w:pPr>
        <w:spacing w:before="120" w:after="0"/>
        <w:ind w:left="720"/>
      </w:pPr>
      <w:r w:rsidRPr="007440C5">
        <w:t>As for the University of Bradford, the College is faced with strong local and national headwinds and its future success depends in part on the robustness of its new strategy and its implementation and partly on what happens elsewhere within the HE environment, including further policy and market change. The College also has to contend with the added uncertainties of evolving government policy in further education, in particular:</w:t>
      </w:r>
    </w:p>
    <w:p w:rsidR="002117CD" w:rsidRPr="007440C5" w:rsidRDefault="002117CD" w:rsidP="002117CD">
      <w:pPr>
        <w:spacing w:after="0"/>
        <w:ind w:left="720"/>
      </w:pPr>
    </w:p>
    <w:p w:rsidR="007440C5" w:rsidRPr="007440C5" w:rsidRDefault="007440C5" w:rsidP="002117CD">
      <w:pPr>
        <w:numPr>
          <w:ilvl w:val="0"/>
          <w:numId w:val="19"/>
        </w:numPr>
        <w:spacing w:before="120" w:after="0"/>
        <w:ind w:left="993" w:hanging="273"/>
        <w:contextualSpacing/>
      </w:pPr>
      <w:r w:rsidRPr="007440C5">
        <w:rPr>
          <w:i/>
        </w:rPr>
        <w:t>New challenges, new chances</w:t>
      </w:r>
      <w:r w:rsidRPr="007440C5">
        <w:t>, the coalition’s 2011 strategy for colleges, which ‘liberates’ FECs to engage in more flexible and larger scale corporate and partnership arrangements to support their sustainability and expansion</w:t>
      </w:r>
    </w:p>
    <w:p w:rsidR="007440C5" w:rsidRPr="007440C5" w:rsidRDefault="007440C5" w:rsidP="002117CD">
      <w:pPr>
        <w:numPr>
          <w:ilvl w:val="0"/>
          <w:numId w:val="19"/>
        </w:numPr>
        <w:spacing w:before="120" w:after="0"/>
        <w:ind w:left="993" w:hanging="273"/>
        <w:contextualSpacing/>
      </w:pPr>
      <w:r w:rsidRPr="007440C5">
        <w:t>government encouragement of competition and choice, including through the creation of academy schools, new types of college and other initiatives, led by a wide and diverse range of commercial and voluntary and public sector providers</w:t>
      </w:r>
    </w:p>
    <w:p w:rsidR="007440C5" w:rsidRPr="007440C5" w:rsidRDefault="007440C5" w:rsidP="002117CD">
      <w:pPr>
        <w:numPr>
          <w:ilvl w:val="0"/>
          <w:numId w:val="19"/>
        </w:numPr>
        <w:spacing w:before="120" w:after="0"/>
        <w:ind w:left="993" w:hanging="273"/>
        <w:contextualSpacing/>
      </w:pPr>
      <w:r w:rsidRPr="007440C5">
        <w:t xml:space="preserve">the Whitehead Review, autumn 2013, which </w:t>
      </w:r>
    </w:p>
    <w:p w:rsidR="007440C5" w:rsidRPr="007440C5" w:rsidRDefault="007440C5" w:rsidP="002117CD">
      <w:pPr>
        <w:numPr>
          <w:ilvl w:val="0"/>
          <w:numId w:val="19"/>
        </w:numPr>
        <w:spacing w:before="120" w:after="0"/>
        <w:ind w:left="993" w:hanging="273"/>
        <w:contextualSpacing/>
      </w:pPr>
      <w:r w:rsidRPr="007440C5">
        <w:t>forms the central plank in the coalition’s new emphasis on increasing employer ownership of the further education and training curriculum</w:t>
      </w:r>
    </w:p>
    <w:p w:rsidR="007440C5" w:rsidRPr="007440C5" w:rsidRDefault="007440C5" w:rsidP="002117CD">
      <w:pPr>
        <w:numPr>
          <w:ilvl w:val="0"/>
          <w:numId w:val="19"/>
        </w:numPr>
        <w:spacing w:before="120" w:after="0"/>
        <w:ind w:left="993" w:hanging="273"/>
        <w:contextualSpacing/>
      </w:pPr>
      <w:r w:rsidRPr="007440C5">
        <w:t>a new government focus on traineeships, apprenticeships, standards and qualifications</w:t>
      </w:r>
    </w:p>
    <w:p w:rsidR="007440C5" w:rsidRPr="007440C5" w:rsidRDefault="007440C5" w:rsidP="00DB1FEC">
      <w:pPr>
        <w:spacing w:before="120" w:after="0"/>
        <w:ind w:left="720"/>
      </w:pPr>
      <w:r w:rsidRPr="007440C5">
        <w:t xml:space="preserve">Although Bradford College is one of the largest providers of higher education in England outside the university sector, the position of providing HE from within a ‘mixed’ setting remains challenging. </w:t>
      </w:r>
      <w:r w:rsidR="00DB1FEC">
        <w:t xml:space="preserve">As for the University, </w:t>
      </w:r>
      <w:r w:rsidR="00822170">
        <w:t>it would be a major achievement to secure growth in this competitive environment.</w:t>
      </w:r>
    </w:p>
    <w:p w:rsidR="007440C5" w:rsidRPr="007440C5" w:rsidRDefault="007440C5" w:rsidP="007440C5">
      <w:pPr>
        <w:rPr>
          <w:i/>
        </w:rPr>
      </w:pPr>
      <w:r w:rsidRPr="007440C5">
        <w:rPr>
          <w:i/>
        </w:rPr>
        <w:br w:type="page"/>
      </w:r>
    </w:p>
    <w:p w:rsidR="00292002" w:rsidRDefault="00292002" w:rsidP="00292002">
      <w:pPr>
        <w:spacing w:before="120" w:after="0"/>
        <w:ind w:left="720" w:hanging="720"/>
      </w:pPr>
      <w:r>
        <w:lastRenderedPageBreak/>
        <w:t>3.2.3</w:t>
      </w:r>
      <w:r>
        <w:tab/>
      </w:r>
      <w:r w:rsidRPr="002117CD">
        <w:rPr>
          <w:i/>
        </w:rPr>
        <w:t>Higher education in Bradford in context</w:t>
      </w:r>
    </w:p>
    <w:p w:rsidR="00822170" w:rsidRDefault="00292002" w:rsidP="007440C5">
      <w:pPr>
        <w:spacing w:before="120" w:after="0"/>
        <w:ind w:left="720"/>
      </w:pPr>
      <w:r>
        <w:t>T</w:t>
      </w:r>
      <w:r w:rsidR="00822170">
        <w:t xml:space="preserve">aken together, the student </w:t>
      </w:r>
      <w:r w:rsidR="0037116B">
        <w:t>intake</w:t>
      </w:r>
      <w:r w:rsidR="00822170">
        <w:t xml:space="preserve"> information provided by the University and the acceptances figures available from UCAS for the College produce a composite picture of </w:t>
      </w:r>
      <w:r w:rsidR="00EF6427">
        <w:t>declining volume for the period 2009-13 (22.2 per cent)</w:t>
      </w:r>
      <w:r w:rsidR="00822170">
        <w:t xml:space="preserve">, as shown in Table </w:t>
      </w:r>
      <w:r w:rsidR="00DE2F43">
        <w:t>22</w:t>
      </w:r>
      <w:r w:rsidR="00822170">
        <w:t xml:space="preserve"> and Graph </w:t>
      </w:r>
      <w:r w:rsidR="00DE2F43">
        <w:t>7</w:t>
      </w:r>
      <w:r w:rsidR="00822170">
        <w:t>.</w:t>
      </w:r>
    </w:p>
    <w:p w:rsidR="00822170" w:rsidRDefault="00292002" w:rsidP="00EF6427">
      <w:pPr>
        <w:tabs>
          <w:tab w:val="left" w:pos="1701"/>
        </w:tabs>
        <w:spacing w:before="120" w:after="100" w:afterAutospacing="1"/>
        <w:ind w:left="720"/>
      </w:pPr>
      <w:r w:rsidRPr="00292002">
        <w:rPr>
          <w:i/>
        </w:rPr>
        <w:t xml:space="preserve">Table </w:t>
      </w:r>
      <w:r w:rsidR="00DE2F43">
        <w:rPr>
          <w:i/>
        </w:rPr>
        <w:t>22</w:t>
      </w:r>
      <w:r w:rsidRPr="00292002">
        <w:rPr>
          <w:i/>
        </w:rPr>
        <w:t xml:space="preserve">: </w:t>
      </w:r>
      <w:r w:rsidR="00EF6427">
        <w:rPr>
          <w:i/>
        </w:rPr>
        <w:tab/>
      </w:r>
      <w:r w:rsidRPr="00292002">
        <w:rPr>
          <w:i/>
        </w:rPr>
        <w:t>Composite</w:t>
      </w:r>
      <w:r>
        <w:rPr>
          <w:i/>
        </w:rPr>
        <w:t xml:space="preserve"> picture for Bradford: combined student intakes (</w:t>
      </w:r>
      <w:proofErr w:type="spellStart"/>
      <w:r>
        <w:rPr>
          <w:i/>
        </w:rPr>
        <w:t>UoB</w:t>
      </w:r>
      <w:proofErr w:type="spellEnd"/>
      <w:r>
        <w:rPr>
          <w:i/>
        </w:rPr>
        <w:t xml:space="preserve">) and acceptances (BC) </w:t>
      </w:r>
      <w:r w:rsidR="00EF6427">
        <w:rPr>
          <w:i/>
        </w:rPr>
        <w:tab/>
      </w:r>
      <w:r>
        <w:rPr>
          <w:i/>
        </w:rPr>
        <w:t>2009-13</w:t>
      </w:r>
    </w:p>
    <w:tbl>
      <w:tblPr>
        <w:tblStyle w:val="TableGrid"/>
        <w:tblW w:w="0" w:type="auto"/>
        <w:tblInd w:w="720" w:type="dxa"/>
        <w:tblLook w:val="04A0" w:firstRow="1" w:lastRow="0" w:firstColumn="1" w:lastColumn="0" w:noHBand="0" w:noVBand="1"/>
      </w:tblPr>
      <w:tblGrid>
        <w:gridCol w:w="1551"/>
        <w:gridCol w:w="814"/>
        <w:gridCol w:w="851"/>
        <w:gridCol w:w="850"/>
        <w:gridCol w:w="709"/>
        <w:gridCol w:w="850"/>
      </w:tblGrid>
      <w:tr w:rsidR="00292002" w:rsidRPr="00EF6427" w:rsidTr="00EF6427">
        <w:tc>
          <w:tcPr>
            <w:tcW w:w="1551" w:type="dxa"/>
          </w:tcPr>
          <w:p w:rsidR="00292002" w:rsidRPr="00EF6427" w:rsidRDefault="00292002" w:rsidP="007440C5">
            <w:pPr>
              <w:spacing w:before="120"/>
              <w:rPr>
                <w:sz w:val="20"/>
                <w:szCs w:val="20"/>
              </w:rPr>
            </w:pPr>
          </w:p>
        </w:tc>
        <w:tc>
          <w:tcPr>
            <w:tcW w:w="814" w:type="dxa"/>
          </w:tcPr>
          <w:p w:rsidR="00292002" w:rsidRPr="00EF6427" w:rsidRDefault="00292002" w:rsidP="007440C5">
            <w:pPr>
              <w:spacing w:before="120"/>
              <w:rPr>
                <w:b/>
                <w:sz w:val="20"/>
                <w:szCs w:val="20"/>
              </w:rPr>
            </w:pPr>
            <w:r w:rsidRPr="00EF6427">
              <w:rPr>
                <w:b/>
                <w:sz w:val="20"/>
                <w:szCs w:val="20"/>
              </w:rPr>
              <w:t>2009</w:t>
            </w:r>
          </w:p>
        </w:tc>
        <w:tc>
          <w:tcPr>
            <w:tcW w:w="851" w:type="dxa"/>
          </w:tcPr>
          <w:p w:rsidR="00292002" w:rsidRPr="00EF6427" w:rsidRDefault="00292002" w:rsidP="007440C5">
            <w:pPr>
              <w:spacing w:before="120"/>
              <w:rPr>
                <w:b/>
                <w:sz w:val="20"/>
                <w:szCs w:val="20"/>
              </w:rPr>
            </w:pPr>
            <w:r w:rsidRPr="00EF6427">
              <w:rPr>
                <w:b/>
                <w:sz w:val="20"/>
                <w:szCs w:val="20"/>
              </w:rPr>
              <w:t>2010</w:t>
            </w:r>
          </w:p>
        </w:tc>
        <w:tc>
          <w:tcPr>
            <w:tcW w:w="850" w:type="dxa"/>
          </w:tcPr>
          <w:p w:rsidR="00292002" w:rsidRPr="00EF6427" w:rsidRDefault="00292002" w:rsidP="007440C5">
            <w:pPr>
              <w:spacing w:before="120"/>
              <w:rPr>
                <w:b/>
                <w:sz w:val="20"/>
                <w:szCs w:val="20"/>
              </w:rPr>
            </w:pPr>
            <w:r w:rsidRPr="00EF6427">
              <w:rPr>
                <w:b/>
                <w:sz w:val="20"/>
                <w:szCs w:val="20"/>
              </w:rPr>
              <w:t>2011</w:t>
            </w:r>
          </w:p>
        </w:tc>
        <w:tc>
          <w:tcPr>
            <w:tcW w:w="709" w:type="dxa"/>
          </w:tcPr>
          <w:p w:rsidR="00292002" w:rsidRPr="00EF6427" w:rsidRDefault="00292002" w:rsidP="007440C5">
            <w:pPr>
              <w:spacing w:before="120"/>
              <w:rPr>
                <w:b/>
                <w:sz w:val="20"/>
                <w:szCs w:val="20"/>
              </w:rPr>
            </w:pPr>
            <w:r w:rsidRPr="00EF6427">
              <w:rPr>
                <w:b/>
                <w:sz w:val="20"/>
                <w:szCs w:val="20"/>
              </w:rPr>
              <w:t>2012</w:t>
            </w:r>
          </w:p>
        </w:tc>
        <w:tc>
          <w:tcPr>
            <w:tcW w:w="850" w:type="dxa"/>
          </w:tcPr>
          <w:p w:rsidR="00292002" w:rsidRPr="00EF6427" w:rsidRDefault="00292002" w:rsidP="007440C5">
            <w:pPr>
              <w:spacing w:before="120"/>
              <w:rPr>
                <w:b/>
                <w:sz w:val="20"/>
                <w:szCs w:val="20"/>
              </w:rPr>
            </w:pPr>
            <w:r w:rsidRPr="00EF6427">
              <w:rPr>
                <w:b/>
                <w:sz w:val="20"/>
                <w:szCs w:val="20"/>
              </w:rPr>
              <w:t>2013</w:t>
            </w:r>
          </w:p>
        </w:tc>
      </w:tr>
      <w:tr w:rsidR="00292002" w:rsidRPr="00EF6427" w:rsidTr="00EF6427">
        <w:tc>
          <w:tcPr>
            <w:tcW w:w="1551" w:type="dxa"/>
          </w:tcPr>
          <w:p w:rsidR="00292002" w:rsidRPr="00EF6427" w:rsidRDefault="00292002" w:rsidP="007440C5">
            <w:pPr>
              <w:spacing w:before="120"/>
              <w:rPr>
                <w:b/>
                <w:sz w:val="20"/>
                <w:szCs w:val="20"/>
              </w:rPr>
            </w:pPr>
            <w:r w:rsidRPr="00EF6427">
              <w:rPr>
                <w:b/>
                <w:sz w:val="20"/>
                <w:szCs w:val="20"/>
              </w:rPr>
              <w:t>UK</w:t>
            </w:r>
          </w:p>
        </w:tc>
        <w:tc>
          <w:tcPr>
            <w:tcW w:w="814" w:type="dxa"/>
          </w:tcPr>
          <w:p w:rsidR="00292002" w:rsidRPr="00EF6427" w:rsidRDefault="00292002" w:rsidP="007440C5">
            <w:pPr>
              <w:spacing w:before="120"/>
              <w:rPr>
                <w:sz w:val="20"/>
                <w:szCs w:val="20"/>
              </w:rPr>
            </w:pPr>
            <w:r w:rsidRPr="00EF6427">
              <w:rPr>
                <w:sz w:val="20"/>
                <w:szCs w:val="20"/>
              </w:rPr>
              <w:t>3</w:t>
            </w:r>
            <w:r w:rsidR="00EF6427" w:rsidRPr="00EF6427">
              <w:rPr>
                <w:sz w:val="20"/>
                <w:szCs w:val="20"/>
              </w:rPr>
              <w:t>,</w:t>
            </w:r>
            <w:r w:rsidRPr="00EF6427">
              <w:rPr>
                <w:sz w:val="20"/>
                <w:szCs w:val="20"/>
              </w:rPr>
              <w:t>938</w:t>
            </w:r>
          </w:p>
        </w:tc>
        <w:tc>
          <w:tcPr>
            <w:tcW w:w="851" w:type="dxa"/>
          </w:tcPr>
          <w:p w:rsidR="00292002" w:rsidRPr="00EF6427" w:rsidRDefault="00292002" w:rsidP="007440C5">
            <w:pPr>
              <w:spacing w:before="120"/>
              <w:rPr>
                <w:sz w:val="20"/>
                <w:szCs w:val="20"/>
              </w:rPr>
            </w:pPr>
            <w:r w:rsidRPr="00EF6427">
              <w:rPr>
                <w:sz w:val="20"/>
                <w:szCs w:val="20"/>
              </w:rPr>
              <w:t>3</w:t>
            </w:r>
            <w:r w:rsidR="00EF6427" w:rsidRPr="00EF6427">
              <w:rPr>
                <w:sz w:val="20"/>
                <w:szCs w:val="20"/>
              </w:rPr>
              <w:t>,</w:t>
            </w:r>
            <w:r w:rsidRPr="00EF6427">
              <w:rPr>
                <w:sz w:val="20"/>
                <w:szCs w:val="20"/>
              </w:rPr>
              <w:t>596</w:t>
            </w:r>
          </w:p>
        </w:tc>
        <w:tc>
          <w:tcPr>
            <w:tcW w:w="850" w:type="dxa"/>
          </w:tcPr>
          <w:p w:rsidR="00292002" w:rsidRPr="00EF6427" w:rsidRDefault="00292002" w:rsidP="007440C5">
            <w:pPr>
              <w:spacing w:before="120"/>
              <w:rPr>
                <w:sz w:val="20"/>
                <w:szCs w:val="20"/>
              </w:rPr>
            </w:pPr>
            <w:r w:rsidRPr="00EF6427">
              <w:rPr>
                <w:sz w:val="20"/>
                <w:szCs w:val="20"/>
              </w:rPr>
              <w:t>3</w:t>
            </w:r>
            <w:r w:rsidR="00EF6427" w:rsidRPr="00EF6427">
              <w:rPr>
                <w:sz w:val="20"/>
                <w:szCs w:val="20"/>
              </w:rPr>
              <w:t>,</w:t>
            </w:r>
            <w:r w:rsidRPr="00EF6427">
              <w:rPr>
                <w:sz w:val="20"/>
                <w:szCs w:val="20"/>
              </w:rPr>
              <w:t>733</w:t>
            </w:r>
          </w:p>
        </w:tc>
        <w:tc>
          <w:tcPr>
            <w:tcW w:w="709" w:type="dxa"/>
          </w:tcPr>
          <w:p w:rsidR="00292002" w:rsidRPr="00EF6427" w:rsidRDefault="00292002" w:rsidP="007440C5">
            <w:pPr>
              <w:spacing w:before="120"/>
              <w:rPr>
                <w:sz w:val="20"/>
                <w:szCs w:val="20"/>
              </w:rPr>
            </w:pPr>
            <w:r w:rsidRPr="00EF6427">
              <w:rPr>
                <w:sz w:val="20"/>
                <w:szCs w:val="20"/>
              </w:rPr>
              <w:t>3</w:t>
            </w:r>
            <w:r w:rsidR="00EF6427" w:rsidRPr="00EF6427">
              <w:rPr>
                <w:sz w:val="20"/>
                <w:szCs w:val="20"/>
              </w:rPr>
              <w:t>,</w:t>
            </w:r>
            <w:r w:rsidRPr="00EF6427">
              <w:rPr>
                <w:sz w:val="20"/>
                <w:szCs w:val="20"/>
              </w:rPr>
              <w:t>220</w:t>
            </w:r>
          </w:p>
        </w:tc>
        <w:tc>
          <w:tcPr>
            <w:tcW w:w="850" w:type="dxa"/>
          </w:tcPr>
          <w:p w:rsidR="00292002" w:rsidRPr="00EF6427" w:rsidRDefault="00292002" w:rsidP="007440C5">
            <w:pPr>
              <w:spacing w:before="120"/>
              <w:rPr>
                <w:sz w:val="20"/>
                <w:szCs w:val="20"/>
              </w:rPr>
            </w:pPr>
            <w:r w:rsidRPr="00EF6427">
              <w:rPr>
                <w:sz w:val="20"/>
                <w:szCs w:val="20"/>
              </w:rPr>
              <w:t>3</w:t>
            </w:r>
            <w:r w:rsidR="00EF6427" w:rsidRPr="00EF6427">
              <w:rPr>
                <w:sz w:val="20"/>
                <w:szCs w:val="20"/>
              </w:rPr>
              <w:t>,</w:t>
            </w:r>
            <w:r w:rsidRPr="00EF6427">
              <w:rPr>
                <w:sz w:val="20"/>
                <w:szCs w:val="20"/>
              </w:rPr>
              <w:t>266</w:t>
            </w:r>
          </w:p>
        </w:tc>
      </w:tr>
      <w:tr w:rsidR="00292002" w:rsidRPr="00EF6427" w:rsidTr="00EF6427">
        <w:tc>
          <w:tcPr>
            <w:tcW w:w="1551" w:type="dxa"/>
          </w:tcPr>
          <w:p w:rsidR="00292002" w:rsidRPr="00EF6427" w:rsidRDefault="00292002" w:rsidP="007440C5">
            <w:pPr>
              <w:spacing w:before="120"/>
              <w:rPr>
                <w:b/>
                <w:sz w:val="20"/>
                <w:szCs w:val="20"/>
              </w:rPr>
            </w:pPr>
            <w:r w:rsidRPr="00EF6427">
              <w:rPr>
                <w:b/>
                <w:sz w:val="20"/>
                <w:szCs w:val="20"/>
              </w:rPr>
              <w:t>Other EU</w:t>
            </w:r>
          </w:p>
        </w:tc>
        <w:tc>
          <w:tcPr>
            <w:tcW w:w="814" w:type="dxa"/>
          </w:tcPr>
          <w:p w:rsidR="00292002" w:rsidRPr="00EF6427" w:rsidRDefault="00292002" w:rsidP="007440C5">
            <w:pPr>
              <w:spacing w:before="120"/>
              <w:rPr>
                <w:sz w:val="20"/>
                <w:szCs w:val="20"/>
              </w:rPr>
            </w:pPr>
            <w:r w:rsidRPr="00EF6427">
              <w:rPr>
                <w:sz w:val="20"/>
                <w:szCs w:val="20"/>
              </w:rPr>
              <w:t>332</w:t>
            </w:r>
          </w:p>
        </w:tc>
        <w:tc>
          <w:tcPr>
            <w:tcW w:w="851" w:type="dxa"/>
          </w:tcPr>
          <w:p w:rsidR="00292002" w:rsidRPr="00EF6427" w:rsidRDefault="00292002" w:rsidP="007440C5">
            <w:pPr>
              <w:spacing w:before="120"/>
              <w:rPr>
                <w:sz w:val="20"/>
                <w:szCs w:val="20"/>
              </w:rPr>
            </w:pPr>
            <w:r w:rsidRPr="00EF6427">
              <w:rPr>
                <w:sz w:val="20"/>
                <w:szCs w:val="20"/>
              </w:rPr>
              <w:t>357</w:t>
            </w:r>
          </w:p>
        </w:tc>
        <w:tc>
          <w:tcPr>
            <w:tcW w:w="850" w:type="dxa"/>
          </w:tcPr>
          <w:p w:rsidR="00292002" w:rsidRPr="00EF6427" w:rsidRDefault="00292002" w:rsidP="007440C5">
            <w:pPr>
              <w:spacing w:before="120"/>
              <w:rPr>
                <w:sz w:val="20"/>
                <w:szCs w:val="20"/>
              </w:rPr>
            </w:pPr>
            <w:r w:rsidRPr="00EF6427">
              <w:rPr>
                <w:sz w:val="20"/>
                <w:szCs w:val="20"/>
              </w:rPr>
              <w:t>460</w:t>
            </w:r>
          </w:p>
        </w:tc>
        <w:tc>
          <w:tcPr>
            <w:tcW w:w="709" w:type="dxa"/>
          </w:tcPr>
          <w:p w:rsidR="00292002" w:rsidRPr="00EF6427" w:rsidRDefault="00292002" w:rsidP="007440C5">
            <w:pPr>
              <w:spacing w:before="120"/>
              <w:rPr>
                <w:sz w:val="20"/>
                <w:szCs w:val="20"/>
              </w:rPr>
            </w:pPr>
            <w:r w:rsidRPr="00EF6427">
              <w:rPr>
                <w:sz w:val="20"/>
                <w:szCs w:val="20"/>
              </w:rPr>
              <w:t>251</w:t>
            </w:r>
          </w:p>
        </w:tc>
        <w:tc>
          <w:tcPr>
            <w:tcW w:w="850" w:type="dxa"/>
          </w:tcPr>
          <w:p w:rsidR="00292002" w:rsidRPr="00EF6427" w:rsidRDefault="00292002" w:rsidP="007440C5">
            <w:pPr>
              <w:spacing w:before="120"/>
              <w:rPr>
                <w:sz w:val="20"/>
                <w:szCs w:val="20"/>
              </w:rPr>
            </w:pPr>
            <w:r w:rsidRPr="00EF6427">
              <w:rPr>
                <w:sz w:val="20"/>
                <w:szCs w:val="20"/>
              </w:rPr>
              <w:t>241</w:t>
            </w:r>
          </w:p>
        </w:tc>
      </w:tr>
      <w:tr w:rsidR="00292002" w:rsidRPr="00EF6427" w:rsidTr="00EF6427">
        <w:tc>
          <w:tcPr>
            <w:tcW w:w="1551" w:type="dxa"/>
          </w:tcPr>
          <w:p w:rsidR="00292002" w:rsidRPr="00EF6427" w:rsidRDefault="00292002" w:rsidP="007440C5">
            <w:pPr>
              <w:spacing w:before="120"/>
              <w:rPr>
                <w:b/>
                <w:sz w:val="20"/>
                <w:szCs w:val="20"/>
              </w:rPr>
            </w:pPr>
            <w:r w:rsidRPr="00EF6427">
              <w:rPr>
                <w:b/>
                <w:sz w:val="20"/>
                <w:szCs w:val="20"/>
              </w:rPr>
              <w:t>Non-EU</w:t>
            </w:r>
          </w:p>
        </w:tc>
        <w:tc>
          <w:tcPr>
            <w:tcW w:w="814" w:type="dxa"/>
          </w:tcPr>
          <w:p w:rsidR="00292002" w:rsidRPr="00EF6427" w:rsidRDefault="00292002" w:rsidP="007440C5">
            <w:pPr>
              <w:spacing w:before="120"/>
              <w:rPr>
                <w:sz w:val="20"/>
                <w:szCs w:val="20"/>
              </w:rPr>
            </w:pPr>
            <w:r w:rsidRPr="00EF6427">
              <w:rPr>
                <w:sz w:val="20"/>
                <w:szCs w:val="20"/>
              </w:rPr>
              <w:t>1</w:t>
            </w:r>
            <w:r w:rsidR="00EF6427" w:rsidRPr="00EF6427">
              <w:rPr>
                <w:sz w:val="20"/>
                <w:szCs w:val="20"/>
              </w:rPr>
              <w:t>,</w:t>
            </w:r>
            <w:r w:rsidRPr="00EF6427">
              <w:rPr>
                <w:sz w:val="20"/>
                <w:szCs w:val="20"/>
              </w:rPr>
              <w:t>155</w:t>
            </w:r>
          </w:p>
        </w:tc>
        <w:tc>
          <w:tcPr>
            <w:tcW w:w="851" w:type="dxa"/>
          </w:tcPr>
          <w:p w:rsidR="00292002" w:rsidRPr="00EF6427" w:rsidRDefault="00292002" w:rsidP="007440C5">
            <w:pPr>
              <w:spacing w:before="120"/>
              <w:rPr>
                <w:sz w:val="20"/>
                <w:szCs w:val="20"/>
              </w:rPr>
            </w:pPr>
            <w:r w:rsidRPr="00EF6427">
              <w:rPr>
                <w:sz w:val="20"/>
                <w:szCs w:val="20"/>
              </w:rPr>
              <w:t>1</w:t>
            </w:r>
            <w:r w:rsidR="00EF6427" w:rsidRPr="00EF6427">
              <w:rPr>
                <w:sz w:val="20"/>
                <w:szCs w:val="20"/>
              </w:rPr>
              <w:t>,</w:t>
            </w:r>
            <w:r w:rsidRPr="00EF6427">
              <w:rPr>
                <w:sz w:val="20"/>
                <w:szCs w:val="20"/>
              </w:rPr>
              <w:t>130</w:t>
            </w:r>
          </w:p>
        </w:tc>
        <w:tc>
          <w:tcPr>
            <w:tcW w:w="850" w:type="dxa"/>
          </w:tcPr>
          <w:p w:rsidR="00292002" w:rsidRPr="00EF6427" w:rsidRDefault="00292002" w:rsidP="007440C5">
            <w:pPr>
              <w:spacing w:before="120"/>
              <w:rPr>
                <w:sz w:val="20"/>
                <w:szCs w:val="20"/>
              </w:rPr>
            </w:pPr>
            <w:r w:rsidRPr="00EF6427">
              <w:rPr>
                <w:sz w:val="20"/>
                <w:szCs w:val="20"/>
              </w:rPr>
              <w:t>875</w:t>
            </w:r>
          </w:p>
        </w:tc>
        <w:tc>
          <w:tcPr>
            <w:tcW w:w="709" w:type="dxa"/>
          </w:tcPr>
          <w:p w:rsidR="00292002" w:rsidRPr="00EF6427" w:rsidRDefault="00292002" w:rsidP="007440C5">
            <w:pPr>
              <w:spacing w:before="120"/>
              <w:rPr>
                <w:sz w:val="20"/>
                <w:szCs w:val="20"/>
              </w:rPr>
            </w:pPr>
            <w:r w:rsidRPr="00EF6427">
              <w:rPr>
                <w:sz w:val="20"/>
                <w:szCs w:val="20"/>
              </w:rPr>
              <w:t>831</w:t>
            </w:r>
          </w:p>
        </w:tc>
        <w:tc>
          <w:tcPr>
            <w:tcW w:w="850" w:type="dxa"/>
          </w:tcPr>
          <w:p w:rsidR="00292002" w:rsidRPr="00EF6427" w:rsidRDefault="00292002" w:rsidP="007440C5">
            <w:pPr>
              <w:spacing w:before="120"/>
              <w:rPr>
                <w:sz w:val="20"/>
                <w:szCs w:val="20"/>
              </w:rPr>
            </w:pPr>
            <w:r w:rsidRPr="00EF6427">
              <w:rPr>
                <w:sz w:val="20"/>
                <w:szCs w:val="20"/>
              </w:rPr>
              <w:t>712</w:t>
            </w:r>
          </w:p>
        </w:tc>
      </w:tr>
      <w:tr w:rsidR="00292002" w:rsidRPr="00EF6427" w:rsidTr="00EF6427">
        <w:tc>
          <w:tcPr>
            <w:tcW w:w="1551" w:type="dxa"/>
          </w:tcPr>
          <w:p w:rsidR="00292002" w:rsidRPr="00EF6427" w:rsidRDefault="00292002" w:rsidP="007440C5">
            <w:pPr>
              <w:spacing w:before="120"/>
              <w:rPr>
                <w:b/>
                <w:sz w:val="20"/>
                <w:szCs w:val="20"/>
              </w:rPr>
            </w:pPr>
            <w:r w:rsidRPr="00EF6427">
              <w:rPr>
                <w:b/>
                <w:sz w:val="20"/>
                <w:szCs w:val="20"/>
              </w:rPr>
              <w:t>TOTAL</w:t>
            </w:r>
          </w:p>
        </w:tc>
        <w:tc>
          <w:tcPr>
            <w:tcW w:w="814" w:type="dxa"/>
          </w:tcPr>
          <w:p w:rsidR="00292002" w:rsidRPr="00EF6427" w:rsidRDefault="00292002" w:rsidP="007440C5">
            <w:pPr>
              <w:spacing w:before="120"/>
              <w:rPr>
                <w:sz w:val="20"/>
                <w:szCs w:val="20"/>
              </w:rPr>
            </w:pPr>
            <w:r w:rsidRPr="00EF6427">
              <w:rPr>
                <w:sz w:val="20"/>
                <w:szCs w:val="20"/>
              </w:rPr>
              <w:t>5</w:t>
            </w:r>
            <w:r w:rsidR="00EF6427" w:rsidRPr="00EF6427">
              <w:rPr>
                <w:sz w:val="20"/>
                <w:szCs w:val="20"/>
              </w:rPr>
              <w:t>,</w:t>
            </w:r>
            <w:r w:rsidRPr="00EF6427">
              <w:rPr>
                <w:sz w:val="20"/>
                <w:szCs w:val="20"/>
              </w:rPr>
              <w:t>425</w:t>
            </w:r>
          </w:p>
        </w:tc>
        <w:tc>
          <w:tcPr>
            <w:tcW w:w="851" w:type="dxa"/>
          </w:tcPr>
          <w:p w:rsidR="00292002" w:rsidRPr="00EF6427" w:rsidRDefault="00292002" w:rsidP="007440C5">
            <w:pPr>
              <w:spacing w:before="120"/>
              <w:rPr>
                <w:sz w:val="20"/>
                <w:szCs w:val="20"/>
              </w:rPr>
            </w:pPr>
            <w:r w:rsidRPr="00EF6427">
              <w:rPr>
                <w:sz w:val="20"/>
                <w:szCs w:val="20"/>
              </w:rPr>
              <w:t>5</w:t>
            </w:r>
            <w:r w:rsidR="00EF6427" w:rsidRPr="00EF6427">
              <w:rPr>
                <w:sz w:val="20"/>
                <w:szCs w:val="20"/>
              </w:rPr>
              <w:t>,</w:t>
            </w:r>
            <w:r w:rsidRPr="00EF6427">
              <w:rPr>
                <w:sz w:val="20"/>
                <w:szCs w:val="20"/>
              </w:rPr>
              <w:t>083</w:t>
            </w:r>
          </w:p>
        </w:tc>
        <w:tc>
          <w:tcPr>
            <w:tcW w:w="850" w:type="dxa"/>
          </w:tcPr>
          <w:p w:rsidR="00292002" w:rsidRPr="00EF6427" w:rsidRDefault="00292002" w:rsidP="007440C5">
            <w:pPr>
              <w:spacing w:before="120"/>
              <w:rPr>
                <w:sz w:val="20"/>
                <w:szCs w:val="20"/>
              </w:rPr>
            </w:pPr>
            <w:r w:rsidRPr="00EF6427">
              <w:rPr>
                <w:sz w:val="20"/>
                <w:szCs w:val="20"/>
              </w:rPr>
              <w:t>5</w:t>
            </w:r>
            <w:r w:rsidR="00EF6427" w:rsidRPr="00EF6427">
              <w:rPr>
                <w:sz w:val="20"/>
                <w:szCs w:val="20"/>
              </w:rPr>
              <w:t>,</w:t>
            </w:r>
            <w:r w:rsidRPr="00EF6427">
              <w:rPr>
                <w:sz w:val="20"/>
                <w:szCs w:val="20"/>
              </w:rPr>
              <w:t>068</w:t>
            </w:r>
          </w:p>
        </w:tc>
        <w:tc>
          <w:tcPr>
            <w:tcW w:w="709" w:type="dxa"/>
          </w:tcPr>
          <w:p w:rsidR="00292002" w:rsidRPr="00EF6427" w:rsidRDefault="00292002" w:rsidP="007440C5">
            <w:pPr>
              <w:spacing w:before="120"/>
              <w:rPr>
                <w:sz w:val="20"/>
                <w:szCs w:val="20"/>
              </w:rPr>
            </w:pPr>
            <w:r w:rsidRPr="00EF6427">
              <w:rPr>
                <w:sz w:val="20"/>
                <w:szCs w:val="20"/>
              </w:rPr>
              <w:t>4</w:t>
            </w:r>
            <w:r w:rsidR="00EF6427" w:rsidRPr="00EF6427">
              <w:rPr>
                <w:sz w:val="20"/>
                <w:szCs w:val="20"/>
              </w:rPr>
              <w:t>,</w:t>
            </w:r>
            <w:r w:rsidRPr="00EF6427">
              <w:rPr>
                <w:sz w:val="20"/>
                <w:szCs w:val="20"/>
              </w:rPr>
              <w:t>302</w:t>
            </w:r>
          </w:p>
        </w:tc>
        <w:tc>
          <w:tcPr>
            <w:tcW w:w="850" w:type="dxa"/>
          </w:tcPr>
          <w:p w:rsidR="00292002" w:rsidRPr="00EF6427" w:rsidRDefault="00292002" w:rsidP="007440C5">
            <w:pPr>
              <w:spacing w:before="120"/>
              <w:rPr>
                <w:sz w:val="20"/>
                <w:szCs w:val="20"/>
              </w:rPr>
            </w:pPr>
            <w:r w:rsidRPr="00EF6427">
              <w:rPr>
                <w:sz w:val="20"/>
                <w:szCs w:val="20"/>
              </w:rPr>
              <w:t>4</w:t>
            </w:r>
            <w:r w:rsidR="00EF6427" w:rsidRPr="00EF6427">
              <w:rPr>
                <w:sz w:val="20"/>
                <w:szCs w:val="20"/>
              </w:rPr>
              <w:t>,</w:t>
            </w:r>
            <w:r w:rsidRPr="00EF6427">
              <w:rPr>
                <w:sz w:val="20"/>
                <w:szCs w:val="20"/>
              </w:rPr>
              <w:t>219</w:t>
            </w:r>
          </w:p>
        </w:tc>
      </w:tr>
    </w:tbl>
    <w:p w:rsidR="00292002" w:rsidRDefault="00292002" w:rsidP="00292002">
      <w:pPr>
        <w:spacing w:before="120" w:after="0"/>
        <w:ind w:left="720"/>
        <w:rPr>
          <w:i/>
        </w:rPr>
      </w:pPr>
    </w:p>
    <w:p w:rsidR="00292002" w:rsidRDefault="00292002" w:rsidP="00F16D86">
      <w:pPr>
        <w:tabs>
          <w:tab w:val="left" w:pos="1701"/>
        </w:tabs>
        <w:spacing w:before="120" w:after="0"/>
        <w:ind w:left="720"/>
      </w:pPr>
      <w:r>
        <w:rPr>
          <w:i/>
        </w:rPr>
        <w:t>Graph</w:t>
      </w:r>
      <w:r w:rsidR="00EF6427">
        <w:rPr>
          <w:i/>
        </w:rPr>
        <w:t xml:space="preserve"> </w:t>
      </w:r>
      <w:r w:rsidR="00DE2F43">
        <w:rPr>
          <w:i/>
        </w:rPr>
        <w:t>7</w:t>
      </w:r>
      <w:r w:rsidRPr="00292002">
        <w:rPr>
          <w:i/>
        </w:rPr>
        <w:t xml:space="preserve">: </w:t>
      </w:r>
      <w:r w:rsidR="00F16D86">
        <w:rPr>
          <w:i/>
        </w:rPr>
        <w:tab/>
      </w:r>
      <w:r w:rsidRPr="00292002">
        <w:rPr>
          <w:i/>
        </w:rPr>
        <w:t>Composite</w:t>
      </w:r>
      <w:r>
        <w:rPr>
          <w:i/>
        </w:rPr>
        <w:t xml:space="preserve"> picture for Bradford: combined student intakes (</w:t>
      </w:r>
      <w:proofErr w:type="spellStart"/>
      <w:r>
        <w:rPr>
          <w:i/>
        </w:rPr>
        <w:t>UoB</w:t>
      </w:r>
      <w:proofErr w:type="spellEnd"/>
      <w:r>
        <w:rPr>
          <w:i/>
        </w:rPr>
        <w:t xml:space="preserve">) and acceptances (BC) </w:t>
      </w:r>
      <w:r w:rsidR="00F16D86">
        <w:rPr>
          <w:i/>
        </w:rPr>
        <w:tab/>
      </w:r>
      <w:r>
        <w:rPr>
          <w:i/>
        </w:rPr>
        <w:t>2009-13</w:t>
      </w:r>
    </w:p>
    <w:p w:rsidR="00292002" w:rsidRDefault="00292002" w:rsidP="007440C5">
      <w:pPr>
        <w:spacing w:before="120" w:after="0"/>
        <w:ind w:left="720"/>
      </w:pPr>
      <w:r>
        <w:rPr>
          <w:noProof/>
          <w:lang w:eastAsia="en-GB"/>
        </w:rPr>
        <w:drawing>
          <wp:inline distT="0" distB="0" distL="0" distR="0" wp14:anchorId="04EF96C6" wp14:editId="7677E5F2">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92002" w:rsidRDefault="007440C5" w:rsidP="00DE2F43">
      <w:pPr>
        <w:spacing w:before="120" w:after="100" w:afterAutospacing="1"/>
        <w:ind w:left="720"/>
      </w:pPr>
      <w:r w:rsidRPr="007440C5">
        <w:t xml:space="preserve">Publicly available information on the city’s share of the higher education market confirms the picture of decline in volume at both institutions, as shown in the tables and graphs below. </w:t>
      </w:r>
    </w:p>
    <w:p w:rsidR="007440C5" w:rsidRPr="007440C5" w:rsidRDefault="007440C5" w:rsidP="00DE2F43">
      <w:pPr>
        <w:tabs>
          <w:tab w:val="left" w:pos="1701"/>
        </w:tabs>
        <w:spacing w:before="120" w:after="100" w:afterAutospacing="1"/>
        <w:ind w:left="720"/>
        <w:rPr>
          <w:i/>
        </w:rPr>
      </w:pPr>
      <w:r w:rsidRPr="007440C5">
        <w:rPr>
          <w:i/>
        </w:rPr>
        <w:t xml:space="preserve">Table 23: </w:t>
      </w:r>
      <w:r w:rsidR="00DE2F43">
        <w:rPr>
          <w:i/>
        </w:rPr>
        <w:tab/>
      </w:r>
      <w:r w:rsidRPr="007440C5">
        <w:rPr>
          <w:i/>
        </w:rPr>
        <w:t>Market share: Bradford; Yorkshire &amp; Humberside</w:t>
      </w:r>
      <w:r w:rsidR="00DE2F43">
        <w:rPr>
          <w:i/>
        </w:rPr>
        <w:t>;</w:t>
      </w:r>
      <w:r w:rsidRPr="007440C5">
        <w:rPr>
          <w:i/>
        </w:rPr>
        <w:t xml:space="preserve"> and the UK (percentages, based on </w:t>
      </w:r>
      <w:r w:rsidR="00DE2F43">
        <w:rPr>
          <w:i/>
        </w:rPr>
        <w:tab/>
      </w:r>
      <w:r w:rsidRPr="007440C5">
        <w:rPr>
          <w:i/>
        </w:rPr>
        <w:t>acceptances)</w:t>
      </w:r>
    </w:p>
    <w:tbl>
      <w:tblPr>
        <w:tblStyle w:val="TableGrid"/>
        <w:tblW w:w="0" w:type="auto"/>
        <w:tblInd w:w="1021" w:type="dxa"/>
        <w:tblLook w:val="04A0" w:firstRow="1" w:lastRow="0" w:firstColumn="1" w:lastColumn="0" w:noHBand="0" w:noVBand="1"/>
      </w:tblPr>
      <w:tblGrid>
        <w:gridCol w:w="2943"/>
        <w:gridCol w:w="941"/>
        <w:gridCol w:w="960"/>
        <w:gridCol w:w="960"/>
        <w:gridCol w:w="960"/>
        <w:gridCol w:w="960"/>
      </w:tblGrid>
      <w:tr w:rsidR="007440C5" w:rsidRPr="007440C5" w:rsidTr="00BB288F">
        <w:trPr>
          <w:trHeight w:val="300"/>
        </w:trPr>
        <w:tc>
          <w:tcPr>
            <w:tcW w:w="2943" w:type="dxa"/>
            <w:noWrap/>
            <w:hideMark/>
          </w:tcPr>
          <w:p w:rsidR="007440C5" w:rsidRPr="00DE2F43" w:rsidRDefault="007440C5" w:rsidP="007440C5">
            <w:pPr>
              <w:spacing w:before="120"/>
              <w:rPr>
                <w:b/>
                <w:bCs/>
                <w:sz w:val="20"/>
                <w:szCs w:val="20"/>
              </w:rPr>
            </w:pPr>
          </w:p>
        </w:tc>
        <w:tc>
          <w:tcPr>
            <w:tcW w:w="941" w:type="dxa"/>
            <w:noWrap/>
            <w:hideMark/>
          </w:tcPr>
          <w:p w:rsidR="007440C5" w:rsidRPr="00DE2F43" w:rsidRDefault="007440C5" w:rsidP="007440C5">
            <w:pPr>
              <w:spacing w:before="120"/>
              <w:rPr>
                <w:b/>
                <w:bCs/>
                <w:sz w:val="20"/>
                <w:szCs w:val="20"/>
              </w:rPr>
            </w:pPr>
            <w:r w:rsidRPr="00DE2F43">
              <w:rPr>
                <w:b/>
                <w:bCs/>
                <w:sz w:val="20"/>
                <w:szCs w:val="20"/>
              </w:rPr>
              <w:t>2009</w:t>
            </w:r>
          </w:p>
        </w:tc>
        <w:tc>
          <w:tcPr>
            <w:tcW w:w="960" w:type="dxa"/>
            <w:noWrap/>
            <w:hideMark/>
          </w:tcPr>
          <w:p w:rsidR="007440C5" w:rsidRPr="00DE2F43" w:rsidRDefault="007440C5" w:rsidP="007440C5">
            <w:pPr>
              <w:spacing w:before="120"/>
              <w:rPr>
                <w:b/>
                <w:bCs/>
                <w:sz w:val="20"/>
                <w:szCs w:val="20"/>
              </w:rPr>
            </w:pPr>
            <w:r w:rsidRPr="00DE2F43">
              <w:rPr>
                <w:b/>
                <w:bCs/>
                <w:sz w:val="20"/>
                <w:szCs w:val="20"/>
              </w:rPr>
              <w:t>2010</w:t>
            </w:r>
          </w:p>
        </w:tc>
        <w:tc>
          <w:tcPr>
            <w:tcW w:w="960" w:type="dxa"/>
            <w:noWrap/>
            <w:hideMark/>
          </w:tcPr>
          <w:p w:rsidR="007440C5" w:rsidRPr="00DE2F43" w:rsidRDefault="007440C5" w:rsidP="007440C5">
            <w:pPr>
              <w:spacing w:before="120"/>
              <w:rPr>
                <w:b/>
                <w:bCs/>
                <w:sz w:val="20"/>
                <w:szCs w:val="20"/>
              </w:rPr>
            </w:pPr>
            <w:r w:rsidRPr="00DE2F43">
              <w:rPr>
                <w:b/>
                <w:bCs/>
                <w:sz w:val="20"/>
                <w:szCs w:val="20"/>
              </w:rPr>
              <w:t>2011</w:t>
            </w:r>
          </w:p>
        </w:tc>
        <w:tc>
          <w:tcPr>
            <w:tcW w:w="960" w:type="dxa"/>
            <w:noWrap/>
            <w:hideMark/>
          </w:tcPr>
          <w:p w:rsidR="007440C5" w:rsidRPr="00DE2F43" w:rsidRDefault="007440C5" w:rsidP="007440C5">
            <w:pPr>
              <w:spacing w:before="120"/>
              <w:rPr>
                <w:b/>
                <w:bCs/>
                <w:sz w:val="20"/>
                <w:szCs w:val="20"/>
              </w:rPr>
            </w:pPr>
            <w:r w:rsidRPr="00DE2F43">
              <w:rPr>
                <w:b/>
                <w:bCs/>
                <w:sz w:val="20"/>
                <w:szCs w:val="20"/>
              </w:rPr>
              <w:t>2012</w:t>
            </w:r>
          </w:p>
        </w:tc>
        <w:tc>
          <w:tcPr>
            <w:tcW w:w="960" w:type="dxa"/>
            <w:noWrap/>
            <w:hideMark/>
          </w:tcPr>
          <w:p w:rsidR="007440C5" w:rsidRPr="00DE2F43" w:rsidRDefault="007440C5" w:rsidP="007440C5">
            <w:pPr>
              <w:spacing w:before="120"/>
              <w:rPr>
                <w:b/>
                <w:bCs/>
                <w:sz w:val="20"/>
                <w:szCs w:val="20"/>
              </w:rPr>
            </w:pPr>
            <w:r w:rsidRPr="00DE2F43">
              <w:rPr>
                <w:b/>
                <w:bCs/>
                <w:sz w:val="20"/>
                <w:szCs w:val="20"/>
              </w:rPr>
              <w:t>2013</w:t>
            </w:r>
          </w:p>
        </w:tc>
      </w:tr>
      <w:tr w:rsidR="007440C5" w:rsidRPr="007440C5" w:rsidTr="00BB288F">
        <w:trPr>
          <w:trHeight w:val="300"/>
        </w:trPr>
        <w:tc>
          <w:tcPr>
            <w:tcW w:w="2943" w:type="dxa"/>
            <w:noWrap/>
            <w:hideMark/>
          </w:tcPr>
          <w:p w:rsidR="007440C5" w:rsidRPr="00DE2F43" w:rsidRDefault="007440C5" w:rsidP="007440C5">
            <w:pPr>
              <w:spacing w:before="120"/>
              <w:rPr>
                <w:b/>
                <w:bCs/>
                <w:sz w:val="20"/>
                <w:szCs w:val="20"/>
              </w:rPr>
            </w:pPr>
            <w:r w:rsidRPr="00DE2F43">
              <w:rPr>
                <w:b/>
                <w:bCs/>
                <w:sz w:val="20"/>
                <w:szCs w:val="20"/>
              </w:rPr>
              <w:t>Bradford as % of UK total</w:t>
            </w:r>
          </w:p>
        </w:tc>
        <w:tc>
          <w:tcPr>
            <w:tcW w:w="941" w:type="dxa"/>
            <w:noWrap/>
            <w:hideMark/>
          </w:tcPr>
          <w:p w:rsidR="007440C5" w:rsidRPr="00DE2F43" w:rsidRDefault="007440C5" w:rsidP="007440C5">
            <w:pPr>
              <w:spacing w:before="120"/>
              <w:rPr>
                <w:sz w:val="20"/>
                <w:szCs w:val="20"/>
              </w:rPr>
            </w:pPr>
            <w:r w:rsidRPr="00DE2F43">
              <w:rPr>
                <w:sz w:val="20"/>
                <w:szCs w:val="20"/>
              </w:rPr>
              <w:t>0.9007</w:t>
            </w:r>
          </w:p>
        </w:tc>
        <w:tc>
          <w:tcPr>
            <w:tcW w:w="960" w:type="dxa"/>
            <w:noWrap/>
            <w:hideMark/>
          </w:tcPr>
          <w:p w:rsidR="007440C5" w:rsidRPr="00DE2F43" w:rsidRDefault="007440C5" w:rsidP="007440C5">
            <w:pPr>
              <w:spacing w:before="120"/>
              <w:rPr>
                <w:sz w:val="20"/>
                <w:szCs w:val="20"/>
              </w:rPr>
            </w:pPr>
            <w:r w:rsidRPr="00DE2F43">
              <w:rPr>
                <w:sz w:val="20"/>
                <w:szCs w:val="20"/>
              </w:rPr>
              <w:t>0.8947</w:t>
            </w:r>
          </w:p>
        </w:tc>
        <w:tc>
          <w:tcPr>
            <w:tcW w:w="960" w:type="dxa"/>
            <w:noWrap/>
            <w:hideMark/>
          </w:tcPr>
          <w:p w:rsidR="007440C5" w:rsidRPr="00DE2F43" w:rsidRDefault="007440C5" w:rsidP="007440C5">
            <w:pPr>
              <w:spacing w:before="120"/>
              <w:rPr>
                <w:sz w:val="20"/>
                <w:szCs w:val="20"/>
              </w:rPr>
            </w:pPr>
            <w:r w:rsidRPr="00DE2F43">
              <w:rPr>
                <w:sz w:val="20"/>
                <w:szCs w:val="20"/>
              </w:rPr>
              <w:t>0.8709</w:t>
            </w:r>
          </w:p>
        </w:tc>
        <w:tc>
          <w:tcPr>
            <w:tcW w:w="960" w:type="dxa"/>
            <w:noWrap/>
            <w:hideMark/>
          </w:tcPr>
          <w:p w:rsidR="007440C5" w:rsidRPr="00DE2F43" w:rsidRDefault="007440C5" w:rsidP="007440C5">
            <w:pPr>
              <w:spacing w:before="120"/>
              <w:rPr>
                <w:sz w:val="20"/>
                <w:szCs w:val="20"/>
              </w:rPr>
            </w:pPr>
            <w:r w:rsidRPr="00DE2F43">
              <w:rPr>
                <w:sz w:val="20"/>
                <w:szCs w:val="20"/>
              </w:rPr>
              <w:t>0.7722</w:t>
            </w:r>
          </w:p>
        </w:tc>
        <w:tc>
          <w:tcPr>
            <w:tcW w:w="960" w:type="dxa"/>
            <w:noWrap/>
            <w:hideMark/>
          </w:tcPr>
          <w:p w:rsidR="007440C5" w:rsidRPr="00DE2F43" w:rsidRDefault="007440C5" w:rsidP="007440C5">
            <w:pPr>
              <w:spacing w:before="120"/>
              <w:rPr>
                <w:sz w:val="20"/>
                <w:szCs w:val="20"/>
              </w:rPr>
            </w:pPr>
            <w:r w:rsidRPr="00DE2F43">
              <w:rPr>
                <w:sz w:val="20"/>
                <w:szCs w:val="20"/>
              </w:rPr>
              <w:t>0.7365</w:t>
            </w:r>
          </w:p>
        </w:tc>
      </w:tr>
      <w:tr w:rsidR="007440C5" w:rsidRPr="007440C5" w:rsidTr="00BB288F">
        <w:trPr>
          <w:trHeight w:val="300"/>
        </w:trPr>
        <w:tc>
          <w:tcPr>
            <w:tcW w:w="2943" w:type="dxa"/>
            <w:noWrap/>
            <w:hideMark/>
          </w:tcPr>
          <w:p w:rsidR="007440C5" w:rsidRPr="00DE2F43" w:rsidRDefault="007440C5" w:rsidP="007440C5">
            <w:pPr>
              <w:spacing w:before="120"/>
              <w:rPr>
                <w:b/>
                <w:bCs/>
                <w:sz w:val="20"/>
                <w:szCs w:val="20"/>
              </w:rPr>
            </w:pPr>
            <w:r w:rsidRPr="00DE2F43">
              <w:rPr>
                <w:b/>
                <w:bCs/>
                <w:sz w:val="20"/>
                <w:szCs w:val="20"/>
              </w:rPr>
              <w:t>Bradford as % of Y&amp;H total</w:t>
            </w:r>
          </w:p>
        </w:tc>
        <w:tc>
          <w:tcPr>
            <w:tcW w:w="941" w:type="dxa"/>
            <w:noWrap/>
            <w:hideMark/>
          </w:tcPr>
          <w:p w:rsidR="007440C5" w:rsidRPr="00DE2F43" w:rsidRDefault="007440C5" w:rsidP="007440C5">
            <w:pPr>
              <w:spacing w:before="120"/>
              <w:rPr>
                <w:sz w:val="20"/>
                <w:szCs w:val="20"/>
              </w:rPr>
            </w:pPr>
            <w:r w:rsidRPr="00DE2F43">
              <w:rPr>
                <w:sz w:val="20"/>
                <w:szCs w:val="20"/>
              </w:rPr>
              <w:t>8.6944</w:t>
            </w:r>
          </w:p>
        </w:tc>
        <w:tc>
          <w:tcPr>
            <w:tcW w:w="960" w:type="dxa"/>
            <w:noWrap/>
            <w:hideMark/>
          </w:tcPr>
          <w:p w:rsidR="007440C5" w:rsidRPr="00DE2F43" w:rsidRDefault="007440C5" w:rsidP="007440C5">
            <w:pPr>
              <w:spacing w:before="120"/>
              <w:rPr>
                <w:sz w:val="20"/>
                <w:szCs w:val="20"/>
              </w:rPr>
            </w:pPr>
            <w:r w:rsidRPr="00DE2F43">
              <w:rPr>
                <w:sz w:val="20"/>
                <w:szCs w:val="20"/>
              </w:rPr>
              <w:t>8.5896</w:t>
            </w:r>
          </w:p>
        </w:tc>
        <w:tc>
          <w:tcPr>
            <w:tcW w:w="960" w:type="dxa"/>
            <w:noWrap/>
            <w:hideMark/>
          </w:tcPr>
          <w:p w:rsidR="007440C5" w:rsidRPr="00DE2F43" w:rsidRDefault="007440C5" w:rsidP="007440C5">
            <w:pPr>
              <w:spacing w:before="120"/>
              <w:rPr>
                <w:sz w:val="20"/>
                <w:szCs w:val="20"/>
              </w:rPr>
            </w:pPr>
            <w:r w:rsidRPr="00DE2F43">
              <w:rPr>
                <w:sz w:val="20"/>
                <w:szCs w:val="20"/>
              </w:rPr>
              <w:t>8.2374</w:t>
            </w:r>
          </w:p>
        </w:tc>
        <w:tc>
          <w:tcPr>
            <w:tcW w:w="960" w:type="dxa"/>
            <w:noWrap/>
            <w:hideMark/>
          </w:tcPr>
          <w:p w:rsidR="007440C5" w:rsidRPr="00DE2F43" w:rsidRDefault="007440C5" w:rsidP="007440C5">
            <w:pPr>
              <w:spacing w:before="120"/>
              <w:rPr>
                <w:sz w:val="20"/>
                <w:szCs w:val="20"/>
              </w:rPr>
            </w:pPr>
            <w:r w:rsidRPr="00DE2F43">
              <w:rPr>
                <w:sz w:val="20"/>
                <w:szCs w:val="20"/>
              </w:rPr>
              <w:t>7.4942</w:t>
            </w:r>
          </w:p>
        </w:tc>
        <w:tc>
          <w:tcPr>
            <w:tcW w:w="960" w:type="dxa"/>
            <w:noWrap/>
            <w:hideMark/>
          </w:tcPr>
          <w:p w:rsidR="007440C5" w:rsidRPr="00DE2F43" w:rsidRDefault="007440C5" w:rsidP="007440C5">
            <w:pPr>
              <w:spacing w:before="120"/>
              <w:rPr>
                <w:sz w:val="20"/>
                <w:szCs w:val="20"/>
              </w:rPr>
            </w:pPr>
            <w:r w:rsidRPr="00DE2F43">
              <w:rPr>
                <w:sz w:val="20"/>
                <w:szCs w:val="20"/>
              </w:rPr>
              <w:t>7.2385</w:t>
            </w:r>
          </w:p>
        </w:tc>
      </w:tr>
      <w:tr w:rsidR="007440C5" w:rsidRPr="007440C5" w:rsidTr="00BB288F">
        <w:trPr>
          <w:trHeight w:val="300"/>
        </w:trPr>
        <w:tc>
          <w:tcPr>
            <w:tcW w:w="2943" w:type="dxa"/>
            <w:noWrap/>
            <w:hideMark/>
          </w:tcPr>
          <w:p w:rsidR="007440C5" w:rsidRPr="00DE2F43" w:rsidRDefault="007440C5" w:rsidP="007440C5">
            <w:pPr>
              <w:spacing w:before="120"/>
              <w:rPr>
                <w:b/>
                <w:bCs/>
                <w:sz w:val="20"/>
                <w:szCs w:val="20"/>
              </w:rPr>
            </w:pPr>
            <w:r w:rsidRPr="00DE2F43">
              <w:rPr>
                <w:b/>
                <w:bCs/>
                <w:sz w:val="20"/>
                <w:szCs w:val="20"/>
              </w:rPr>
              <w:t>Y&amp;H as % of UK total</w:t>
            </w:r>
          </w:p>
        </w:tc>
        <w:tc>
          <w:tcPr>
            <w:tcW w:w="941" w:type="dxa"/>
            <w:noWrap/>
            <w:hideMark/>
          </w:tcPr>
          <w:p w:rsidR="007440C5" w:rsidRPr="00DE2F43" w:rsidRDefault="007440C5" w:rsidP="007440C5">
            <w:pPr>
              <w:spacing w:before="120"/>
              <w:rPr>
                <w:sz w:val="20"/>
                <w:szCs w:val="20"/>
              </w:rPr>
            </w:pPr>
            <w:r w:rsidRPr="00DE2F43">
              <w:rPr>
                <w:sz w:val="20"/>
                <w:szCs w:val="20"/>
              </w:rPr>
              <w:t>10.3594</w:t>
            </w:r>
          </w:p>
        </w:tc>
        <w:tc>
          <w:tcPr>
            <w:tcW w:w="960" w:type="dxa"/>
            <w:noWrap/>
            <w:hideMark/>
          </w:tcPr>
          <w:p w:rsidR="007440C5" w:rsidRPr="00DE2F43" w:rsidRDefault="007440C5" w:rsidP="007440C5">
            <w:pPr>
              <w:spacing w:before="120"/>
              <w:rPr>
                <w:sz w:val="20"/>
                <w:szCs w:val="20"/>
              </w:rPr>
            </w:pPr>
            <w:r w:rsidRPr="00DE2F43">
              <w:rPr>
                <w:sz w:val="20"/>
                <w:szCs w:val="20"/>
              </w:rPr>
              <w:t>10.4158</w:t>
            </w:r>
          </w:p>
        </w:tc>
        <w:tc>
          <w:tcPr>
            <w:tcW w:w="960" w:type="dxa"/>
            <w:noWrap/>
            <w:hideMark/>
          </w:tcPr>
          <w:p w:rsidR="007440C5" w:rsidRPr="00DE2F43" w:rsidRDefault="007440C5" w:rsidP="007440C5">
            <w:pPr>
              <w:spacing w:before="120"/>
              <w:rPr>
                <w:sz w:val="20"/>
                <w:szCs w:val="20"/>
              </w:rPr>
            </w:pPr>
            <w:r w:rsidRPr="00DE2F43">
              <w:rPr>
                <w:sz w:val="20"/>
                <w:szCs w:val="20"/>
              </w:rPr>
              <w:t>10.5723</w:t>
            </w:r>
          </w:p>
        </w:tc>
        <w:tc>
          <w:tcPr>
            <w:tcW w:w="960" w:type="dxa"/>
            <w:noWrap/>
            <w:hideMark/>
          </w:tcPr>
          <w:p w:rsidR="007440C5" w:rsidRPr="00DE2F43" w:rsidRDefault="007440C5" w:rsidP="007440C5">
            <w:pPr>
              <w:spacing w:before="120"/>
              <w:rPr>
                <w:sz w:val="20"/>
                <w:szCs w:val="20"/>
              </w:rPr>
            </w:pPr>
            <w:r w:rsidRPr="00DE2F43">
              <w:rPr>
                <w:sz w:val="20"/>
                <w:szCs w:val="20"/>
              </w:rPr>
              <w:t>10.3039</w:t>
            </w:r>
          </w:p>
        </w:tc>
        <w:tc>
          <w:tcPr>
            <w:tcW w:w="960" w:type="dxa"/>
            <w:noWrap/>
            <w:hideMark/>
          </w:tcPr>
          <w:p w:rsidR="007440C5" w:rsidRPr="00DE2F43" w:rsidRDefault="007440C5" w:rsidP="007440C5">
            <w:pPr>
              <w:spacing w:before="120"/>
              <w:rPr>
                <w:sz w:val="20"/>
                <w:szCs w:val="20"/>
              </w:rPr>
            </w:pPr>
            <w:r w:rsidRPr="00DE2F43">
              <w:rPr>
                <w:sz w:val="20"/>
                <w:szCs w:val="20"/>
              </w:rPr>
              <w:t>10.1746</w:t>
            </w:r>
          </w:p>
        </w:tc>
      </w:tr>
    </w:tbl>
    <w:p w:rsidR="007440C5" w:rsidRPr="007440C5" w:rsidRDefault="007440C5" w:rsidP="00292002">
      <w:pPr>
        <w:spacing w:before="120" w:after="0"/>
        <w:ind w:firstLine="720"/>
      </w:pPr>
      <w:r w:rsidRPr="007440C5">
        <w:rPr>
          <w:sz w:val="18"/>
        </w:rPr>
        <w:t>(</w:t>
      </w:r>
      <w:r w:rsidRPr="007440C5">
        <w:rPr>
          <w:i/>
          <w:sz w:val="18"/>
        </w:rPr>
        <w:t>Compiled from UCAS data</w:t>
      </w:r>
      <w:r w:rsidRPr="007440C5">
        <w:rPr>
          <w:sz w:val="18"/>
        </w:rPr>
        <w:t>)</w:t>
      </w:r>
    </w:p>
    <w:p w:rsidR="007440C5" w:rsidRPr="007440C5" w:rsidRDefault="007440C5" w:rsidP="007440C5">
      <w:pPr>
        <w:rPr>
          <w:i/>
        </w:rPr>
      </w:pPr>
      <w:r w:rsidRPr="007440C5">
        <w:rPr>
          <w:i/>
        </w:rPr>
        <w:br w:type="page"/>
      </w:r>
    </w:p>
    <w:p w:rsidR="007440C5" w:rsidRPr="007440C5" w:rsidRDefault="007440C5" w:rsidP="00DE2F43">
      <w:pPr>
        <w:tabs>
          <w:tab w:val="left" w:pos="1701"/>
        </w:tabs>
        <w:spacing w:before="120" w:after="0"/>
        <w:ind w:left="720"/>
        <w:rPr>
          <w:i/>
        </w:rPr>
      </w:pPr>
      <w:r w:rsidRPr="007440C5">
        <w:rPr>
          <w:i/>
        </w:rPr>
        <w:lastRenderedPageBreak/>
        <w:t xml:space="preserve">Graph 8: </w:t>
      </w:r>
      <w:r w:rsidR="00DE2F43">
        <w:rPr>
          <w:i/>
        </w:rPr>
        <w:tab/>
      </w:r>
      <w:r w:rsidRPr="007440C5">
        <w:rPr>
          <w:i/>
        </w:rPr>
        <w:t>Market share: Bradford; Yorkshire &amp; Humberside</w:t>
      </w:r>
      <w:r w:rsidR="00DE2F43">
        <w:rPr>
          <w:i/>
        </w:rPr>
        <w:t>;</w:t>
      </w:r>
      <w:r w:rsidRPr="007440C5">
        <w:rPr>
          <w:i/>
        </w:rPr>
        <w:t xml:space="preserve"> and the UK (percentages, based on </w:t>
      </w:r>
      <w:r w:rsidR="00DE2F43">
        <w:rPr>
          <w:i/>
        </w:rPr>
        <w:tab/>
      </w:r>
      <w:r w:rsidRPr="007440C5">
        <w:rPr>
          <w:i/>
        </w:rPr>
        <w:t>acceptances)</w:t>
      </w:r>
    </w:p>
    <w:p w:rsidR="007440C5" w:rsidRPr="007440C5" w:rsidRDefault="007440C5" w:rsidP="007440C5">
      <w:pPr>
        <w:spacing w:before="120" w:after="0"/>
      </w:pPr>
      <w:r w:rsidRPr="007440C5">
        <w:rPr>
          <w:noProof/>
          <w:lang w:eastAsia="en-GB"/>
        </w:rPr>
        <w:drawing>
          <wp:anchor distT="0" distB="0" distL="114300" distR="114300" simplePos="0" relativeHeight="251665408" behindDoc="0" locked="0" layoutInCell="1" allowOverlap="1" wp14:anchorId="70BD61B5" wp14:editId="2C5A5311">
            <wp:simplePos x="0" y="0"/>
            <wp:positionH relativeFrom="column">
              <wp:posOffset>457200</wp:posOffset>
            </wp:positionH>
            <wp:positionV relativeFrom="paragraph">
              <wp:posOffset>208915</wp:posOffset>
            </wp:positionV>
            <wp:extent cx="3895090" cy="1868170"/>
            <wp:effectExtent l="0" t="0" r="16510" b="3683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rPr>
          <w:i/>
          <w:sz w:val="18"/>
        </w:rPr>
      </w:pPr>
    </w:p>
    <w:p w:rsidR="007440C5" w:rsidRPr="007440C5" w:rsidRDefault="007440C5" w:rsidP="007440C5">
      <w:pPr>
        <w:spacing w:before="120" w:after="0"/>
        <w:ind w:firstLine="720"/>
        <w:rPr>
          <w:sz w:val="18"/>
        </w:rPr>
      </w:pPr>
      <w:r w:rsidRPr="007440C5">
        <w:rPr>
          <w:i/>
          <w:sz w:val="18"/>
        </w:rPr>
        <w:t xml:space="preserve"> </w:t>
      </w:r>
      <w:r w:rsidRPr="007440C5">
        <w:rPr>
          <w:sz w:val="18"/>
        </w:rPr>
        <w:t>(</w:t>
      </w:r>
      <w:r w:rsidRPr="007440C5">
        <w:rPr>
          <w:i/>
          <w:sz w:val="18"/>
        </w:rPr>
        <w:t>Source data: UCAS</w:t>
      </w:r>
      <w:r w:rsidRPr="007440C5">
        <w:rPr>
          <w:sz w:val="18"/>
        </w:rPr>
        <w:t>)</w:t>
      </w:r>
      <w:r w:rsidRPr="007440C5">
        <w:rPr>
          <w:i/>
          <w:sz w:val="18"/>
        </w:rPr>
        <w:t xml:space="preserve"> </w:t>
      </w:r>
    </w:p>
    <w:p w:rsidR="007440C5" w:rsidRPr="007440C5" w:rsidRDefault="007440C5" w:rsidP="00DE2F43">
      <w:pPr>
        <w:tabs>
          <w:tab w:val="left" w:pos="1701"/>
        </w:tabs>
        <w:spacing w:before="120" w:after="0"/>
        <w:ind w:left="720"/>
        <w:rPr>
          <w:i/>
        </w:rPr>
      </w:pPr>
      <w:r w:rsidRPr="007440C5">
        <w:rPr>
          <w:i/>
        </w:rPr>
        <w:t xml:space="preserve">Table 24: </w:t>
      </w:r>
      <w:r w:rsidR="00DE2F43">
        <w:rPr>
          <w:i/>
        </w:rPr>
        <w:tab/>
      </w:r>
      <w:r w:rsidRPr="007440C5">
        <w:rPr>
          <w:i/>
        </w:rPr>
        <w:t xml:space="preserve">Regional competitor institutions: market share in Yorkshire and the Humber 2008-13 </w:t>
      </w:r>
      <w:r w:rsidR="00DE2F43">
        <w:rPr>
          <w:i/>
        </w:rPr>
        <w:tab/>
      </w:r>
      <w:r w:rsidRPr="007440C5">
        <w:rPr>
          <w:i/>
        </w:rPr>
        <w:t>(percentages, based on acceptances)</w:t>
      </w: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tbl>
      <w:tblPr>
        <w:tblStyle w:val="TableGrid"/>
        <w:tblpPr w:leftFromText="180" w:rightFromText="180" w:vertAnchor="page" w:horzAnchor="page" w:tblpX="1906" w:tblpY="6535"/>
        <w:tblW w:w="0" w:type="auto"/>
        <w:tblLook w:val="04A0" w:firstRow="1" w:lastRow="0" w:firstColumn="1" w:lastColumn="0" w:noHBand="0" w:noVBand="1"/>
      </w:tblPr>
      <w:tblGrid>
        <w:gridCol w:w="2230"/>
        <w:gridCol w:w="718"/>
        <w:gridCol w:w="960"/>
        <w:gridCol w:w="960"/>
        <w:gridCol w:w="960"/>
        <w:gridCol w:w="960"/>
        <w:gridCol w:w="960"/>
      </w:tblGrid>
      <w:tr w:rsidR="007440C5" w:rsidRPr="007440C5" w:rsidTr="00BB288F">
        <w:trPr>
          <w:trHeight w:val="300"/>
        </w:trPr>
        <w:tc>
          <w:tcPr>
            <w:tcW w:w="2230" w:type="dxa"/>
            <w:noWrap/>
            <w:hideMark/>
          </w:tcPr>
          <w:p w:rsidR="007440C5" w:rsidRPr="007440C5" w:rsidRDefault="007440C5" w:rsidP="007440C5">
            <w:pPr>
              <w:spacing w:before="120"/>
              <w:rPr>
                <w:sz w:val="20"/>
              </w:rPr>
            </w:pPr>
          </w:p>
        </w:tc>
        <w:tc>
          <w:tcPr>
            <w:tcW w:w="718" w:type="dxa"/>
            <w:noWrap/>
            <w:hideMark/>
          </w:tcPr>
          <w:p w:rsidR="007440C5" w:rsidRPr="007440C5" w:rsidRDefault="007440C5" w:rsidP="007440C5">
            <w:pPr>
              <w:spacing w:before="120"/>
              <w:rPr>
                <w:sz w:val="20"/>
              </w:rPr>
            </w:pPr>
            <w:r w:rsidRPr="007440C5">
              <w:rPr>
                <w:sz w:val="20"/>
              </w:rPr>
              <w:t>2008</w:t>
            </w:r>
          </w:p>
        </w:tc>
        <w:tc>
          <w:tcPr>
            <w:tcW w:w="960" w:type="dxa"/>
            <w:noWrap/>
            <w:hideMark/>
          </w:tcPr>
          <w:p w:rsidR="007440C5" w:rsidRPr="007440C5" w:rsidRDefault="007440C5" w:rsidP="007440C5">
            <w:pPr>
              <w:spacing w:before="120"/>
              <w:rPr>
                <w:sz w:val="20"/>
              </w:rPr>
            </w:pPr>
            <w:r w:rsidRPr="007440C5">
              <w:rPr>
                <w:sz w:val="20"/>
              </w:rPr>
              <w:t>2009</w:t>
            </w:r>
          </w:p>
        </w:tc>
        <w:tc>
          <w:tcPr>
            <w:tcW w:w="960" w:type="dxa"/>
            <w:noWrap/>
            <w:hideMark/>
          </w:tcPr>
          <w:p w:rsidR="007440C5" w:rsidRPr="007440C5" w:rsidRDefault="007440C5" w:rsidP="007440C5">
            <w:pPr>
              <w:spacing w:before="120"/>
              <w:rPr>
                <w:sz w:val="20"/>
              </w:rPr>
            </w:pPr>
            <w:r w:rsidRPr="007440C5">
              <w:rPr>
                <w:sz w:val="20"/>
              </w:rPr>
              <w:t>2010</w:t>
            </w:r>
          </w:p>
        </w:tc>
        <w:tc>
          <w:tcPr>
            <w:tcW w:w="960" w:type="dxa"/>
            <w:noWrap/>
            <w:hideMark/>
          </w:tcPr>
          <w:p w:rsidR="007440C5" w:rsidRPr="007440C5" w:rsidRDefault="007440C5" w:rsidP="007440C5">
            <w:pPr>
              <w:spacing w:before="120"/>
              <w:rPr>
                <w:sz w:val="20"/>
              </w:rPr>
            </w:pPr>
            <w:r w:rsidRPr="007440C5">
              <w:rPr>
                <w:sz w:val="20"/>
              </w:rPr>
              <w:t>2011</w:t>
            </w:r>
          </w:p>
        </w:tc>
        <w:tc>
          <w:tcPr>
            <w:tcW w:w="960" w:type="dxa"/>
            <w:noWrap/>
            <w:hideMark/>
          </w:tcPr>
          <w:p w:rsidR="007440C5" w:rsidRPr="007440C5" w:rsidRDefault="007440C5" w:rsidP="007440C5">
            <w:pPr>
              <w:spacing w:before="120"/>
              <w:rPr>
                <w:sz w:val="20"/>
              </w:rPr>
            </w:pPr>
            <w:r w:rsidRPr="007440C5">
              <w:rPr>
                <w:sz w:val="20"/>
              </w:rPr>
              <w:t>2012</w:t>
            </w:r>
          </w:p>
        </w:tc>
        <w:tc>
          <w:tcPr>
            <w:tcW w:w="960" w:type="dxa"/>
            <w:noWrap/>
            <w:hideMark/>
          </w:tcPr>
          <w:p w:rsidR="007440C5" w:rsidRPr="007440C5" w:rsidRDefault="007440C5" w:rsidP="007440C5">
            <w:pPr>
              <w:spacing w:before="120"/>
              <w:rPr>
                <w:sz w:val="20"/>
              </w:rPr>
            </w:pPr>
            <w:r w:rsidRPr="007440C5">
              <w:rPr>
                <w:sz w:val="20"/>
              </w:rPr>
              <w:t>2013</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Hudd'd</w:t>
            </w:r>
            <w:proofErr w:type="spellEnd"/>
          </w:p>
        </w:tc>
        <w:tc>
          <w:tcPr>
            <w:tcW w:w="718" w:type="dxa"/>
            <w:noWrap/>
            <w:hideMark/>
          </w:tcPr>
          <w:p w:rsidR="007440C5" w:rsidRPr="007440C5" w:rsidRDefault="007440C5" w:rsidP="007440C5">
            <w:pPr>
              <w:spacing w:before="120"/>
              <w:rPr>
                <w:sz w:val="20"/>
              </w:rPr>
            </w:pPr>
            <w:r w:rsidRPr="007440C5">
              <w:rPr>
                <w:sz w:val="20"/>
              </w:rPr>
              <w:t>8.49</w:t>
            </w:r>
          </w:p>
        </w:tc>
        <w:tc>
          <w:tcPr>
            <w:tcW w:w="960" w:type="dxa"/>
            <w:noWrap/>
            <w:hideMark/>
          </w:tcPr>
          <w:p w:rsidR="007440C5" w:rsidRPr="007440C5" w:rsidRDefault="007440C5" w:rsidP="007440C5">
            <w:pPr>
              <w:spacing w:before="120"/>
              <w:rPr>
                <w:sz w:val="20"/>
              </w:rPr>
            </w:pPr>
            <w:r w:rsidRPr="007440C5">
              <w:rPr>
                <w:sz w:val="20"/>
              </w:rPr>
              <w:t>8.82</w:t>
            </w:r>
          </w:p>
        </w:tc>
        <w:tc>
          <w:tcPr>
            <w:tcW w:w="960" w:type="dxa"/>
            <w:noWrap/>
            <w:hideMark/>
          </w:tcPr>
          <w:p w:rsidR="007440C5" w:rsidRPr="007440C5" w:rsidRDefault="007440C5" w:rsidP="007440C5">
            <w:pPr>
              <w:spacing w:before="120"/>
              <w:rPr>
                <w:sz w:val="20"/>
              </w:rPr>
            </w:pPr>
            <w:r w:rsidRPr="007440C5">
              <w:rPr>
                <w:sz w:val="20"/>
              </w:rPr>
              <w:t>8.79</w:t>
            </w:r>
          </w:p>
        </w:tc>
        <w:tc>
          <w:tcPr>
            <w:tcW w:w="960" w:type="dxa"/>
            <w:noWrap/>
            <w:hideMark/>
          </w:tcPr>
          <w:p w:rsidR="007440C5" w:rsidRPr="007440C5" w:rsidRDefault="007440C5" w:rsidP="007440C5">
            <w:pPr>
              <w:spacing w:before="120"/>
              <w:rPr>
                <w:sz w:val="20"/>
              </w:rPr>
            </w:pPr>
            <w:r w:rsidRPr="007440C5">
              <w:rPr>
                <w:sz w:val="20"/>
              </w:rPr>
              <w:t>9.35</w:t>
            </w:r>
          </w:p>
        </w:tc>
        <w:tc>
          <w:tcPr>
            <w:tcW w:w="960" w:type="dxa"/>
            <w:noWrap/>
            <w:hideMark/>
          </w:tcPr>
          <w:p w:rsidR="007440C5" w:rsidRPr="007440C5" w:rsidRDefault="007440C5" w:rsidP="007440C5">
            <w:pPr>
              <w:spacing w:before="120"/>
              <w:rPr>
                <w:sz w:val="20"/>
              </w:rPr>
            </w:pPr>
            <w:r w:rsidRPr="007440C5">
              <w:rPr>
                <w:sz w:val="20"/>
              </w:rPr>
              <w:t>10.36</w:t>
            </w:r>
          </w:p>
        </w:tc>
        <w:tc>
          <w:tcPr>
            <w:tcW w:w="960" w:type="dxa"/>
            <w:noWrap/>
            <w:hideMark/>
          </w:tcPr>
          <w:p w:rsidR="007440C5" w:rsidRPr="007440C5" w:rsidRDefault="007440C5" w:rsidP="007440C5">
            <w:pPr>
              <w:spacing w:before="120"/>
              <w:rPr>
                <w:sz w:val="20"/>
              </w:rPr>
            </w:pPr>
            <w:r w:rsidRPr="007440C5">
              <w:rPr>
                <w:sz w:val="20"/>
              </w:rPr>
              <w:t>8.7</w:t>
            </w:r>
          </w:p>
        </w:tc>
      </w:tr>
      <w:tr w:rsidR="007440C5" w:rsidRPr="007440C5" w:rsidTr="00BB288F">
        <w:trPr>
          <w:trHeight w:val="300"/>
        </w:trPr>
        <w:tc>
          <w:tcPr>
            <w:tcW w:w="2230" w:type="dxa"/>
            <w:noWrap/>
            <w:hideMark/>
          </w:tcPr>
          <w:p w:rsidR="007440C5" w:rsidRPr="007440C5" w:rsidRDefault="007440C5" w:rsidP="007440C5">
            <w:pPr>
              <w:spacing w:before="120"/>
              <w:rPr>
                <w:sz w:val="20"/>
              </w:rPr>
            </w:pPr>
            <w:r w:rsidRPr="007440C5">
              <w:rPr>
                <w:sz w:val="20"/>
              </w:rPr>
              <w:t>Leeds Beckett</w:t>
            </w:r>
          </w:p>
        </w:tc>
        <w:tc>
          <w:tcPr>
            <w:tcW w:w="718" w:type="dxa"/>
            <w:noWrap/>
            <w:hideMark/>
          </w:tcPr>
          <w:p w:rsidR="007440C5" w:rsidRPr="007440C5" w:rsidRDefault="007440C5" w:rsidP="007440C5">
            <w:pPr>
              <w:spacing w:before="120"/>
              <w:rPr>
                <w:sz w:val="20"/>
              </w:rPr>
            </w:pPr>
            <w:r w:rsidRPr="007440C5">
              <w:rPr>
                <w:sz w:val="20"/>
              </w:rPr>
              <w:t>15.08</w:t>
            </w:r>
          </w:p>
        </w:tc>
        <w:tc>
          <w:tcPr>
            <w:tcW w:w="960" w:type="dxa"/>
            <w:noWrap/>
            <w:hideMark/>
          </w:tcPr>
          <w:p w:rsidR="007440C5" w:rsidRPr="007440C5" w:rsidRDefault="007440C5" w:rsidP="007440C5">
            <w:pPr>
              <w:spacing w:before="120"/>
              <w:rPr>
                <w:sz w:val="20"/>
              </w:rPr>
            </w:pPr>
            <w:r w:rsidRPr="007440C5">
              <w:rPr>
                <w:sz w:val="20"/>
              </w:rPr>
              <w:t>13.4</w:t>
            </w:r>
          </w:p>
        </w:tc>
        <w:tc>
          <w:tcPr>
            <w:tcW w:w="960" w:type="dxa"/>
            <w:noWrap/>
            <w:hideMark/>
          </w:tcPr>
          <w:p w:rsidR="007440C5" w:rsidRPr="007440C5" w:rsidRDefault="007440C5" w:rsidP="007440C5">
            <w:pPr>
              <w:spacing w:before="120"/>
              <w:rPr>
                <w:sz w:val="20"/>
              </w:rPr>
            </w:pPr>
            <w:r w:rsidRPr="007440C5">
              <w:rPr>
                <w:sz w:val="20"/>
              </w:rPr>
              <w:t>14.18</w:t>
            </w:r>
          </w:p>
        </w:tc>
        <w:tc>
          <w:tcPr>
            <w:tcW w:w="960" w:type="dxa"/>
            <w:noWrap/>
            <w:hideMark/>
          </w:tcPr>
          <w:p w:rsidR="007440C5" w:rsidRPr="007440C5" w:rsidRDefault="007440C5" w:rsidP="007440C5">
            <w:pPr>
              <w:spacing w:before="120"/>
              <w:rPr>
                <w:sz w:val="20"/>
              </w:rPr>
            </w:pPr>
            <w:r w:rsidRPr="007440C5">
              <w:rPr>
                <w:sz w:val="20"/>
              </w:rPr>
              <w:t>15.54</w:t>
            </w:r>
          </w:p>
        </w:tc>
        <w:tc>
          <w:tcPr>
            <w:tcW w:w="960" w:type="dxa"/>
            <w:noWrap/>
            <w:hideMark/>
          </w:tcPr>
          <w:p w:rsidR="007440C5" w:rsidRPr="007440C5" w:rsidRDefault="007440C5" w:rsidP="007440C5">
            <w:pPr>
              <w:spacing w:before="120"/>
              <w:rPr>
                <w:sz w:val="20"/>
              </w:rPr>
            </w:pPr>
            <w:r w:rsidRPr="007440C5">
              <w:rPr>
                <w:sz w:val="20"/>
              </w:rPr>
              <w:t>13.08</w:t>
            </w:r>
          </w:p>
        </w:tc>
        <w:tc>
          <w:tcPr>
            <w:tcW w:w="960" w:type="dxa"/>
            <w:noWrap/>
            <w:hideMark/>
          </w:tcPr>
          <w:p w:rsidR="007440C5" w:rsidRPr="007440C5" w:rsidRDefault="007440C5" w:rsidP="007440C5">
            <w:pPr>
              <w:spacing w:before="120"/>
              <w:rPr>
                <w:sz w:val="20"/>
              </w:rPr>
            </w:pPr>
            <w:r w:rsidRPr="007440C5">
              <w:rPr>
                <w:sz w:val="20"/>
              </w:rPr>
              <w:t>14.57</w:t>
            </w:r>
          </w:p>
        </w:tc>
      </w:tr>
      <w:tr w:rsidR="007440C5" w:rsidRPr="007440C5" w:rsidTr="00BB288F">
        <w:trPr>
          <w:trHeight w:val="300"/>
        </w:trPr>
        <w:tc>
          <w:tcPr>
            <w:tcW w:w="2230" w:type="dxa"/>
            <w:noWrap/>
            <w:hideMark/>
          </w:tcPr>
          <w:p w:rsidR="007440C5" w:rsidRPr="007440C5" w:rsidRDefault="007440C5" w:rsidP="007440C5">
            <w:pPr>
              <w:spacing w:before="120"/>
              <w:rPr>
                <w:sz w:val="20"/>
              </w:rPr>
            </w:pPr>
            <w:r w:rsidRPr="007440C5">
              <w:rPr>
                <w:sz w:val="20"/>
              </w:rPr>
              <w:t>Leeds Trinity</w:t>
            </w:r>
          </w:p>
        </w:tc>
        <w:tc>
          <w:tcPr>
            <w:tcW w:w="718" w:type="dxa"/>
            <w:noWrap/>
            <w:hideMark/>
          </w:tcPr>
          <w:p w:rsidR="007440C5" w:rsidRPr="007440C5" w:rsidRDefault="007440C5" w:rsidP="007440C5">
            <w:pPr>
              <w:spacing w:before="120"/>
              <w:rPr>
                <w:sz w:val="20"/>
              </w:rPr>
            </w:pPr>
            <w:r w:rsidRPr="007440C5">
              <w:rPr>
                <w:sz w:val="20"/>
              </w:rPr>
              <w:t>1.82</w:t>
            </w:r>
          </w:p>
        </w:tc>
        <w:tc>
          <w:tcPr>
            <w:tcW w:w="960" w:type="dxa"/>
            <w:noWrap/>
            <w:hideMark/>
          </w:tcPr>
          <w:p w:rsidR="007440C5" w:rsidRPr="007440C5" w:rsidRDefault="007440C5" w:rsidP="007440C5">
            <w:pPr>
              <w:spacing w:before="120"/>
              <w:rPr>
                <w:sz w:val="20"/>
              </w:rPr>
            </w:pPr>
            <w:r w:rsidRPr="007440C5">
              <w:rPr>
                <w:sz w:val="20"/>
              </w:rPr>
              <w:t>1.7</w:t>
            </w:r>
          </w:p>
        </w:tc>
        <w:tc>
          <w:tcPr>
            <w:tcW w:w="960" w:type="dxa"/>
            <w:noWrap/>
            <w:hideMark/>
          </w:tcPr>
          <w:p w:rsidR="007440C5" w:rsidRPr="007440C5" w:rsidRDefault="007440C5" w:rsidP="007440C5">
            <w:pPr>
              <w:spacing w:before="120"/>
              <w:rPr>
                <w:sz w:val="20"/>
              </w:rPr>
            </w:pPr>
            <w:r w:rsidRPr="007440C5">
              <w:rPr>
                <w:sz w:val="20"/>
              </w:rPr>
              <w:t>1.72</w:t>
            </w:r>
          </w:p>
        </w:tc>
        <w:tc>
          <w:tcPr>
            <w:tcW w:w="960" w:type="dxa"/>
            <w:noWrap/>
            <w:hideMark/>
          </w:tcPr>
          <w:p w:rsidR="007440C5" w:rsidRPr="007440C5" w:rsidRDefault="007440C5" w:rsidP="007440C5">
            <w:pPr>
              <w:spacing w:before="120"/>
              <w:rPr>
                <w:sz w:val="20"/>
              </w:rPr>
            </w:pPr>
            <w:r w:rsidRPr="007440C5">
              <w:rPr>
                <w:sz w:val="20"/>
              </w:rPr>
              <w:t>1.74</w:t>
            </w:r>
          </w:p>
        </w:tc>
        <w:tc>
          <w:tcPr>
            <w:tcW w:w="960" w:type="dxa"/>
            <w:noWrap/>
            <w:hideMark/>
          </w:tcPr>
          <w:p w:rsidR="007440C5" w:rsidRPr="007440C5" w:rsidRDefault="007440C5" w:rsidP="007440C5">
            <w:pPr>
              <w:spacing w:before="120"/>
              <w:rPr>
                <w:sz w:val="20"/>
              </w:rPr>
            </w:pPr>
            <w:r w:rsidRPr="007440C5">
              <w:rPr>
                <w:sz w:val="20"/>
              </w:rPr>
              <w:t>1.82</w:t>
            </w:r>
          </w:p>
        </w:tc>
        <w:tc>
          <w:tcPr>
            <w:tcW w:w="960" w:type="dxa"/>
            <w:noWrap/>
            <w:hideMark/>
          </w:tcPr>
          <w:p w:rsidR="007440C5" w:rsidRPr="007440C5" w:rsidRDefault="007440C5" w:rsidP="007440C5">
            <w:pPr>
              <w:spacing w:before="120"/>
              <w:rPr>
                <w:sz w:val="20"/>
              </w:rPr>
            </w:pPr>
            <w:r w:rsidRPr="007440C5">
              <w:rPr>
                <w:sz w:val="20"/>
              </w:rPr>
              <w:t>2.02</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Univ</w:t>
            </w:r>
            <w:proofErr w:type="spellEnd"/>
            <w:r w:rsidRPr="007440C5">
              <w:rPr>
                <w:sz w:val="20"/>
              </w:rPr>
              <w:t xml:space="preserve"> of Leeds</w:t>
            </w:r>
          </w:p>
        </w:tc>
        <w:tc>
          <w:tcPr>
            <w:tcW w:w="718" w:type="dxa"/>
            <w:noWrap/>
            <w:hideMark/>
          </w:tcPr>
          <w:p w:rsidR="007440C5" w:rsidRPr="007440C5" w:rsidRDefault="007440C5" w:rsidP="007440C5">
            <w:pPr>
              <w:spacing w:before="120"/>
              <w:rPr>
                <w:sz w:val="20"/>
              </w:rPr>
            </w:pPr>
            <w:r w:rsidRPr="007440C5">
              <w:rPr>
                <w:sz w:val="20"/>
              </w:rPr>
              <w:t>15.36</w:t>
            </w:r>
          </w:p>
        </w:tc>
        <w:tc>
          <w:tcPr>
            <w:tcW w:w="960" w:type="dxa"/>
            <w:noWrap/>
            <w:hideMark/>
          </w:tcPr>
          <w:p w:rsidR="007440C5" w:rsidRPr="007440C5" w:rsidRDefault="007440C5" w:rsidP="007440C5">
            <w:pPr>
              <w:spacing w:before="120"/>
              <w:rPr>
                <w:sz w:val="20"/>
              </w:rPr>
            </w:pPr>
            <w:r w:rsidRPr="007440C5">
              <w:rPr>
                <w:sz w:val="20"/>
              </w:rPr>
              <w:t>14.31</w:t>
            </w:r>
          </w:p>
        </w:tc>
        <w:tc>
          <w:tcPr>
            <w:tcW w:w="960" w:type="dxa"/>
            <w:noWrap/>
            <w:hideMark/>
          </w:tcPr>
          <w:p w:rsidR="007440C5" w:rsidRPr="007440C5" w:rsidRDefault="007440C5" w:rsidP="007440C5">
            <w:pPr>
              <w:spacing w:before="120"/>
              <w:rPr>
                <w:sz w:val="20"/>
              </w:rPr>
            </w:pPr>
            <w:r w:rsidRPr="007440C5">
              <w:rPr>
                <w:sz w:val="20"/>
              </w:rPr>
              <w:t>14.7</w:t>
            </w:r>
          </w:p>
        </w:tc>
        <w:tc>
          <w:tcPr>
            <w:tcW w:w="960" w:type="dxa"/>
            <w:noWrap/>
            <w:hideMark/>
          </w:tcPr>
          <w:p w:rsidR="007440C5" w:rsidRPr="007440C5" w:rsidRDefault="007440C5" w:rsidP="007440C5">
            <w:pPr>
              <w:spacing w:before="120"/>
              <w:rPr>
                <w:sz w:val="20"/>
              </w:rPr>
            </w:pPr>
            <w:r w:rsidRPr="007440C5">
              <w:rPr>
                <w:sz w:val="20"/>
              </w:rPr>
              <w:t>13.16</w:t>
            </w:r>
          </w:p>
        </w:tc>
        <w:tc>
          <w:tcPr>
            <w:tcW w:w="960" w:type="dxa"/>
            <w:noWrap/>
            <w:hideMark/>
          </w:tcPr>
          <w:p w:rsidR="007440C5" w:rsidRPr="007440C5" w:rsidRDefault="007440C5" w:rsidP="007440C5">
            <w:pPr>
              <w:spacing w:before="120"/>
              <w:rPr>
                <w:sz w:val="20"/>
              </w:rPr>
            </w:pPr>
            <w:r w:rsidRPr="007440C5">
              <w:rPr>
                <w:sz w:val="20"/>
              </w:rPr>
              <w:t>13.42</w:t>
            </w:r>
          </w:p>
        </w:tc>
        <w:tc>
          <w:tcPr>
            <w:tcW w:w="960" w:type="dxa"/>
            <w:noWrap/>
            <w:hideMark/>
          </w:tcPr>
          <w:p w:rsidR="007440C5" w:rsidRPr="007440C5" w:rsidRDefault="007440C5" w:rsidP="007440C5">
            <w:pPr>
              <w:spacing w:before="120"/>
              <w:rPr>
                <w:sz w:val="20"/>
              </w:rPr>
            </w:pPr>
            <w:r w:rsidRPr="007440C5">
              <w:rPr>
                <w:sz w:val="20"/>
              </w:rPr>
              <w:t>13.51</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Univ</w:t>
            </w:r>
            <w:proofErr w:type="spellEnd"/>
            <w:r w:rsidRPr="007440C5">
              <w:rPr>
                <w:sz w:val="20"/>
              </w:rPr>
              <w:t xml:space="preserve"> of </w:t>
            </w:r>
            <w:proofErr w:type="spellStart"/>
            <w:r w:rsidRPr="007440C5">
              <w:rPr>
                <w:sz w:val="20"/>
              </w:rPr>
              <w:t>B'ford</w:t>
            </w:r>
            <w:proofErr w:type="spellEnd"/>
          </w:p>
        </w:tc>
        <w:tc>
          <w:tcPr>
            <w:tcW w:w="718" w:type="dxa"/>
            <w:noWrap/>
            <w:hideMark/>
          </w:tcPr>
          <w:p w:rsidR="007440C5" w:rsidRPr="007440C5" w:rsidRDefault="007440C5" w:rsidP="007440C5">
            <w:pPr>
              <w:spacing w:before="120"/>
              <w:rPr>
                <w:sz w:val="20"/>
              </w:rPr>
            </w:pPr>
            <w:r w:rsidRPr="007440C5">
              <w:rPr>
                <w:sz w:val="20"/>
              </w:rPr>
              <w:t>6.31</w:t>
            </w:r>
          </w:p>
        </w:tc>
        <w:tc>
          <w:tcPr>
            <w:tcW w:w="960" w:type="dxa"/>
            <w:noWrap/>
            <w:hideMark/>
          </w:tcPr>
          <w:p w:rsidR="007440C5" w:rsidRPr="007440C5" w:rsidRDefault="007440C5" w:rsidP="007440C5">
            <w:pPr>
              <w:spacing w:before="120"/>
              <w:rPr>
                <w:sz w:val="20"/>
              </w:rPr>
            </w:pPr>
            <w:r w:rsidRPr="007440C5">
              <w:rPr>
                <w:sz w:val="20"/>
              </w:rPr>
              <w:t>6.73</w:t>
            </w:r>
          </w:p>
        </w:tc>
        <w:tc>
          <w:tcPr>
            <w:tcW w:w="960" w:type="dxa"/>
            <w:noWrap/>
            <w:hideMark/>
          </w:tcPr>
          <w:p w:rsidR="007440C5" w:rsidRPr="007440C5" w:rsidRDefault="007440C5" w:rsidP="007440C5">
            <w:pPr>
              <w:spacing w:before="120"/>
              <w:rPr>
                <w:sz w:val="20"/>
              </w:rPr>
            </w:pPr>
            <w:r w:rsidRPr="007440C5">
              <w:rPr>
                <w:sz w:val="20"/>
              </w:rPr>
              <w:t>6.74</w:t>
            </w:r>
          </w:p>
        </w:tc>
        <w:tc>
          <w:tcPr>
            <w:tcW w:w="960" w:type="dxa"/>
            <w:noWrap/>
            <w:hideMark/>
          </w:tcPr>
          <w:p w:rsidR="007440C5" w:rsidRPr="007440C5" w:rsidRDefault="007440C5" w:rsidP="007440C5">
            <w:pPr>
              <w:spacing w:before="120"/>
              <w:rPr>
                <w:sz w:val="20"/>
              </w:rPr>
            </w:pPr>
            <w:r w:rsidRPr="007440C5">
              <w:rPr>
                <w:sz w:val="20"/>
              </w:rPr>
              <w:t>6.45</w:t>
            </w:r>
          </w:p>
        </w:tc>
        <w:tc>
          <w:tcPr>
            <w:tcW w:w="960" w:type="dxa"/>
            <w:noWrap/>
            <w:hideMark/>
          </w:tcPr>
          <w:p w:rsidR="007440C5" w:rsidRPr="007440C5" w:rsidRDefault="007440C5" w:rsidP="007440C5">
            <w:pPr>
              <w:spacing w:before="120"/>
              <w:rPr>
                <w:sz w:val="20"/>
              </w:rPr>
            </w:pPr>
            <w:r w:rsidRPr="007440C5">
              <w:rPr>
                <w:sz w:val="20"/>
              </w:rPr>
              <w:t>5.74</w:t>
            </w:r>
          </w:p>
        </w:tc>
        <w:tc>
          <w:tcPr>
            <w:tcW w:w="960" w:type="dxa"/>
            <w:noWrap/>
            <w:hideMark/>
          </w:tcPr>
          <w:p w:rsidR="007440C5" w:rsidRPr="007440C5" w:rsidRDefault="007440C5" w:rsidP="007440C5">
            <w:pPr>
              <w:spacing w:before="120"/>
              <w:rPr>
                <w:sz w:val="20"/>
              </w:rPr>
            </w:pPr>
            <w:r w:rsidRPr="007440C5">
              <w:rPr>
                <w:sz w:val="20"/>
              </w:rPr>
              <w:t>5.69</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B'ford</w:t>
            </w:r>
            <w:proofErr w:type="spellEnd"/>
            <w:r w:rsidRPr="007440C5">
              <w:rPr>
                <w:sz w:val="20"/>
              </w:rPr>
              <w:t xml:space="preserve"> College</w:t>
            </w:r>
          </w:p>
        </w:tc>
        <w:tc>
          <w:tcPr>
            <w:tcW w:w="718" w:type="dxa"/>
            <w:noWrap/>
            <w:hideMark/>
          </w:tcPr>
          <w:p w:rsidR="007440C5" w:rsidRPr="007440C5" w:rsidRDefault="007440C5" w:rsidP="007440C5">
            <w:pPr>
              <w:spacing w:before="120"/>
              <w:rPr>
                <w:sz w:val="20"/>
              </w:rPr>
            </w:pPr>
            <w:r w:rsidRPr="007440C5">
              <w:rPr>
                <w:sz w:val="20"/>
              </w:rPr>
              <w:t>1.47</w:t>
            </w:r>
          </w:p>
        </w:tc>
        <w:tc>
          <w:tcPr>
            <w:tcW w:w="960" w:type="dxa"/>
            <w:noWrap/>
            <w:hideMark/>
          </w:tcPr>
          <w:p w:rsidR="007440C5" w:rsidRPr="007440C5" w:rsidRDefault="007440C5" w:rsidP="007440C5">
            <w:pPr>
              <w:spacing w:before="120"/>
              <w:rPr>
                <w:sz w:val="20"/>
              </w:rPr>
            </w:pPr>
            <w:r w:rsidRPr="007440C5">
              <w:rPr>
                <w:sz w:val="20"/>
              </w:rPr>
              <w:t>1.96</w:t>
            </w:r>
          </w:p>
        </w:tc>
        <w:tc>
          <w:tcPr>
            <w:tcW w:w="960" w:type="dxa"/>
            <w:noWrap/>
            <w:hideMark/>
          </w:tcPr>
          <w:p w:rsidR="007440C5" w:rsidRPr="007440C5" w:rsidRDefault="007440C5" w:rsidP="007440C5">
            <w:pPr>
              <w:spacing w:before="120"/>
              <w:rPr>
                <w:sz w:val="20"/>
              </w:rPr>
            </w:pPr>
            <w:r w:rsidRPr="007440C5">
              <w:rPr>
                <w:sz w:val="20"/>
              </w:rPr>
              <w:t>1.86</w:t>
            </w:r>
          </w:p>
        </w:tc>
        <w:tc>
          <w:tcPr>
            <w:tcW w:w="960" w:type="dxa"/>
            <w:noWrap/>
            <w:hideMark/>
          </w:tcPr>
          <w:p w:rsidR="007440C5" w:rsidRPr="007440C5" w:rsidRDefault="007440C5" w:rsidP="007440C5">
            <w:pPr>
              <w:spacing w:before="120"/>
              <w:rPr>
                <w:sz w:val="20"/>
              </w:rPr>
            </w:pPr>
            <w:r w:rsidRPr="007440C5">
              <w:rPr>
                <w:sz w:val="20"/>
              </w:rPr>
              <w:t>1.88</w:t>
            </w:r>
          </w:p>
        </w:tc>
        <w:tc>
          <w:tcPr>
            <w:tcW w:w="960" w:type="dxa"/>
            <w:noWrap/>
            <w:hideMark/>
          </w:tcPr>
          <w:p w:rsidR="007440C5" w:rsidRPr="007440C5" w:rsidRDefault="007440C5" w:rsidP="007440C5">
            <w:pPr>
              <w:spacing w:before="120"/>
              <w:rPr>
                <w:sz w:val="20"/>
              </w:rPr>
            </w:pPr>
            <w:r w:rsidRPr="007440C5">
              <w:rPr>
                <w:sz w:val="20"/>
              </w:rPr>
              <w:t>1.75</w:t>
            </w:r>
          </w:p>
        </w:tc>
        <w:tc>
          <w:tcPr>
            <w:tcW w:w="960" w:type="dxa"/>
            <w:noWrap/>
            <w:hideMark/>
          </w:tcPr>
          <w:p w:rsidR="007440C5" w:rsidRPr="007440C5" w:rsidRDefault="007440C5" w:rsidP="007440C5">
            <w:pPr>
              <w:spacing w:before="120"/>
              <w:rPr>
                <w:sz w:val="20"/>
              </w:rPr>
            </w:pPr>
            <w:r w:rsidRPr="007440C5">
              <w:rPr>
                <w:sz w:val="20"/>
              </w:rPr>
              <w:t>1.55</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Univ</w:t>
            </w:r>
            <w:proofErr w:type="spellEnd"/>
            <w:r w:rsidRPr="007440C5">
              <w:rPr>
                <w:sz w:val="20"/>
              </w:rPr>
              <w:t xml:space="preserve"> of Sheffield</w:t>
            </w:r>
          </w:p>
        </w:tc>
        <w:tc>
          <w:tcPr>
            <w:tcW w:w="718" w:type="dxa"/>
            <w:noWrap/>
            <w:hideMark/>
          </w:tcPr>
          <w:p w:rsidR="007440C5" w:rsidRPr="007440C5" w:rsidRDefault="007440C5" w:rsidP="007440C5">
            <w:pPr>
              <w:spacing w:before="120"/>
              <w:rPr>
                <w:sz w:val="20"/>
              </w:rPr>
            </w:pPr>
            <w:r w:rsidRPr="007440C5">
              <w:rPr>
                <w:sz w:val="20"/>
              </w:rPr>
              <w:t>10.03</w:t>
            </w:r>
          </w:p>
        </w:tc>
        <w:tc>
          <w:tcPr>
            <w:tcW w:w="960" w:type="dxa"/>
            <w:noWrap/>
            <w:hideMark/>
          </w:tcPr>
          <w:p w:rsidR="007440C5" w:rsidRPr="007440C5" w:rsidRDefault="007440C5" w:rsidP="007440C5">
            <w:pPr>
              <w:spacing w:before="120"/>
              <w:rPr>
                <w:sz w:val="20"/>
              </w:rPr>
            </w:pPr>
            <w:r w:rsidRPr="007440C5">
              <w:rPr>
                <w:sz w:val="20"/>
              </w:rPr>
              <w:t>10.39</w:t>
            </w:r>
          </w:p>
        </w:tc>
        <w:tc>
          <w:tcPr>
            <w:tcW w:w="960" w:type="dxa"/>
            <w:noWrap/>
            <w:hideMark/>
          </w:tcPr>
          <w:p w:rsidR="007440C5" w:rsidRPr="007440C5" w:rsidRDefault="007440C5" w:rsidP="007440C5">
            <w:pPr>
              <w:spacing w:before="120"/>
              <w:rPr>
                <w:sz w:val="20"/>
              </w:rPr>
            </w:pPr>
            <w:r w:rsidRPr="007440C5">
              <w:rPr>
                <w:sz w:val="20"/>
              </w:rPr>
              <w:t>9.95</w:t>
            </w:r>
          </w:p>
        </w:tc>
        <w:tc>
          <w:tcPr>
            <w:tcW w:w="960" w:type="dxa"/>
            <w:noWrap/>
            <w:hideMark/>
          </w:tcPr>
          <w:p w:rsidR="007440C5" w:rsidRPr="007440C5" w:rsidRDefault="007440C5" w:rsidP="007440C5">
            <w:pPr>
              <w:spacing w:before="120"/>
              <w:rPr>
                <w:sz w:val="20"/>
              </w:rPr>
            </w:pPr>
            <w:r w:rsidRPr="007440C5">
              <w:rPr>
                <w:sz w:val="20"/>
              </w:rPr>
              <w:t>9.99</w:t>
            </w:r>
          </w:p>
        </w:tc>
        <w:tc>
          <w:tcPr>
            <w:tcW w:w="960" w:type="dxa"/>
            <w:noWrap/>
            <w:hideMark/>
          </w:tcPr>
          <w:p w:rsidR="007440C5" w:rsidRPr="007440C5" w:rsidRDefault="007440C5" w:rsidP="007440C5">
            <w:pPr>
              <w:spacing w:before="120"/>
              <w:rPr>
                <w:sz w:val="20"/>
              </w:rPr>
            </w:pPr>
            <w:r w:rsidRPr="007440C5">
              <w:rPr>
                <w:sz w:val="20"/>
              </w:rPr>
              <w:t>9.83</w:t>
            </w:r>
          </w:p>
        </w:tc>
        <w:tc>
          <w:tcPr>
            <w:tcW w:w="960" w:type="dxa"/>
            <w:noWrap/>
            <w:hideMark/>
          </w:tcPr>
          <w:p w:rsidR="007440C5" w:rsidRPr="007440C5" w:rsidRDefault="007440C5" w:rsidP="007440C5">
            <w:pPr>
              <w:spacing w:before="120"/>
              <w:rPr>
                <w:sz w:val="20"/>
              </w:rPr>
            </w:pPr>
            <w:r w:rsidRPr="007440C5">
              <w:rPr>
                <w:sz w:val="20"/>
              </w:rPr>
              <w:t>10.76</w:t>
            </w:r>
          </w:p>
        </w:tc>
      </w:tr>
      <w:tr w:rsidR="007440C5" w:rsidRPr="007440C5" w:rsidTr="00BB288F">
        <w:trPr>
          <w:trHeight w:val="300"/>
        </w:trPr>
        <w:tc>
          <w:tcPr>
            <w:tcW w:w="2230" w:type="dxa"/>
            <w:noWrap/>
            <w:hideMark/>
          </w:tcPr>
          <w:p w:rsidR="007440C5" w:rsidRPr="007440C5" w:rsidRDefault="007440C5" w:rsidP="007440C5">
            <w:pPr>
              <w:spacing w:before="120"/>
              <w:rPr>
                <w:sz w:val="20"/>
              </w:rPr>
            </w:pPr>
            <w:r w:rsidRPr="007440C5">
              <w:rPr>
                <w:sz w:val="20"/>
              </w:rPr>
              <w:t>Sheffield Hallam</w:t>
            </w:r>
          </w:p>
        </w:tc>
        <w:tc>
          <w:tcPr>
            <w:tcW w:w="718" w:type="dxa"/>
            <w:noWrap/>
            <w:hideMark/>
          </w:tcPr>
          <w:p w:rsidR="007440C5" w:rsidRPr="007440C5" w:rsidRDefault="007440C5" w:rsidP="007440C5">
            <w:pPr>
              <w:spacing w:before="120"/>
              <w:rPr>
                <w:sz w:val="20"/>
              </w:rPr>
            </w:pPr>
            <w:r w:rsidRPr="007440C5">
              <w:rPr>
                <w:sz w:val="20"/>
              </w:rPr>
              <w:t>16.33</w:t>
            </w:r>
          </w:p>
        </w:tc>
        <w:tc>
          <w:tcPr>
            <w:tcW w:w="960" w:type="dxa"/>
            <w:noWrap/>
            <w:hideMark/>
          </w:tcPr>
          <w:p w:rsidR="007440C5" w:rsidRPr="007440C5" w:rsidRDefault="007440C5" w:rsidP="007440C5">
            <w:pPr>
              <w:spacing w:before="120"/>
              <w:rPr>
                <w:sz w:val="20"/>
              </w:rPr>
            </w:pPr>
            <w:r w:rsidRPr="007440C5">
              <w:rPr>
                <w:sz w:val="20"/>
              </w:rPr>
              <w:t>16.27</w:t>
            </w:r>
          </w:p>
        </w:tc>
        <w:tc>
          <w:tcPr>
            <w:tcW w:w="960" w:type="dxa"/>
            <w:noWrap/>
            <w:hideMark/>
          </w:tcPr>
          <w:p w:rsidR="007440C5" w:rsidRPr="007440C5" w:rsidRDefault="007440C5" w:rsidP="007440C5">
            <w:pPr>
              <w:spacing w:before="120"/>
              <w:rPr>
                <w:sz w:val="20"/>
              </w:rPr>
            </w:pPr>
            <w:r w:rsidRPr="007440C5">
              <w:rPr>
                <w:sz w:val="20"/>
              </w:rPr>
              <w:t>15.84</w:t>
            </w:r>
          </w:p>
        </w:tc>
        <w:tc>
          <w:tcPr>
            <w:tcW w:w="960" w:type="dxa"/>
            <w:noWrap/>
            <w:hideMark/>
          </w:tcPr>
          <w:p w:rsidR="007440C5" w:rsidRPr="007440C5" w:rsidRDefault="007440C5" w:rsidP="007440C5">
            <w:pPr>
              <w:spacing w:before="120"/>
              <w:rPr>
                <w:sz w:val="20"/>
              </w:rPr>
            </w:pPr>
            <w:r w:rsidRPr="007440C5">
              <w:rPr>
                <w:sz w:val="20"/>
              </w:rPr>
              <w:t>15.78</w:t>
            </w:r>
          </w:p>
        </w:tc>
        <w:tc>
          <w:tcPr>
            <w:tcW w:w="960" w:type="dxa"/>
            <w:noWrap/>
            <w:hideMark/>
          </w:tcPr>
          <w:p w:rsidR="007440C5" w:rsidRPr="007440C5" w:rsidRDefault="007440C5" w:rsidP="007440C5">
            <w:pPr>
              <w:spacing w:before="120"/>
              <w:rPr>
                <w:sz w:val="20"/>
              </w:rPr>
            </w:pPr>
            <w:r w:rsidRPr="007440C5">
              <w:rPr>
                <w:sz w:val="20"/>
              </w:rPr>
              <w:t>15.5</w:t>
            </w:r>
          </w:p>
        </w:tc>
        <w:tc>
          <w:tcPr>
            <w:tcW w:w="960" w:type="dxa"/>
            <w:noWrap/>
            <w:hideMark/>
          </w:tcPr>
          <w:p w:rsidR="007440C5" w:rsidRPr="007440C5" w:rsidRDefault="007440C5" w:rsidP="007440C5">
            <w:pPr>
              <w:spacing w:before="120"/>
              <w:rPr>
                <w:sz w:val="20"/>
              </w:rPr>
            </w:pPr>
            <w:r w:rsidRPr="007440C5">
              <w:rPr>
                <w:sz w:val="20"/>
              </w:rPr>
              <w:t>14.8</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Univ</w:t>
            </w:r>
            <w:proofErr w:type="spellEnd"/>
            <w:r w:rsidRPr="007440C5">
              <w:rPr>
                <w:sz w:val="20"/>
              </w:rPr>
              <w:t xml:space="preserve"> of Hull</w:t>
            </w:r>
          </w:p>
        </w:tc>
        <w:tc>
          <w:tcPr>
            <w:tcW w:w="718" w:type="dxa"/>
            <w:noWrap/>
            <w:hideMark/>
          </w:tcPr>
          <w:p w:rsidR="007440C5" w:rsidRPr="007440C5" w:rsidRDefault="007440C5" w:rsidP="007440C5">
            <w:pPr>
              <w:spacing w:before="120"/>
              <w:rPr>
                <w:sz w:val="20"/>
              </w:rPr>
            </w:pPr>
            <w:r w:rsidRPr="007440C5">
              <w:rPr>
                <w:sz w:val="20"/>
              </w:rPr>
              <w:t>9.72</w:t>
            </w:r>
          </w:p>
        </w:tc>
        <w:tc>
          <w:tcPr>
            <w:tcW w:w="960" w:type="dxa"/>
            <w:noWrap/>
            <w:hideMark/>
          </w:tcPr>
          <w:p w:rsidR="007440C5" w:rsidRPr="007440C5" w:rsidRDefault="007440C5" w:rsidP="007440C5">
            <w:pPr>
              <w:spacing w:before="120"/>
              <w:rPr>
                <w:sz w:val="20"/>
              </w:rPr>
            </w:pPr>
            <w:r w:rsidRPr="007440C5">
              <w:rPr>
                <w:sz w:val="20"/>
              </w:rPr>
              <w:t>9.92</w:t>
            </w:r>
          </w:p>
        </w:tc>
        <w:tc>
          <w:tcPr>
            <w:tcW w:w="960" w:type="dxa"/>
            <w:noWrap/>
            <w:hideMark/>
          </w:tcPr>
          <w:p w:rsidR="007440C5" w:rsidRPr="007440C5" w:rsidRDefault="007440C5" w:rsidP="007440C5">
            <w:pPr>
              <w:spacing w:before="120"/>
              <w:rPr>
                <w:sz w:val="20"/>
              </w:rPr>
            </w:pPr>
            <w:r w:rsidRPr="007440C5">
              <w:rPr>
                <w:sz w:val="20"/>
              </w:rPr>
              <w:t>9.31</w:t>
            </w:r>
          </w:p>
        </w:tc>
        <w:tc>
          <w:tcPr>
            <w:tcW w:w="960" w:type="dxa"/>
            <w:noWrap/>
            <w:hideMark/>
          </w:tcPr>
          <w:p w:rsidR="007440C5" w:rsidRPr="007440C5" w:rsidRDefault="007440C5" w:rsidP="007440C5">
            <w:pPr>
              <w:spacing w:before="120"/>
              <w:rPr>
                <w:sz w:val="20"/>
              </w:rPr>
            </w:pPr>
            <w:r w:rsidRPr="007440C5">
              <w:rPr>
                <w:sz w:val="20"/>
              </w:rPr>
              <w:t>9.38</w:t>
            </w:r>
          </w:p>
        </w:tc>
        <w:tc>
          <w:tcPr>
            <w:tcW w:w="960" w:type="dxa"/>
            <w:noWrap/>
            <w:hideMark/>
          </w:tcPr>
          <w:p w:rsidR="007440C5" w:rsidRPr="007440C5" w:rsidRDefault="007440C5" w:rsidP="007440C5">
            <w:pPr>
              <w:spacing w:before="120"/>
              <w:rPr>
                <w:sz w:val="20"/>
              </w:rPr>
            </w:pPr>
            <w:r w:rsidRPr="007440C5">
              <w:rPr>
                <w:sz w:val="20"/>
              </w:rPr>
              <w:t>9.09</w:t>
            </w:r>
          </w:p>
        </w:tc>
        <w:tc>
          <w:tcPr>
            <w:tcW w:w="960" w:type="dxa"/>
            <w:noWrap/>
            <w:hideMark/>
          </w:tcPr>
          <w:p w:rsidR="007440C5" w:rsidRPr="007440C5" w:rsidRDefault="007440C5" w:rsidP="007440C5">
            <w:pPr>
              <w:spacing w:before="120"/>
              <w:rPr>
                <w:sz w:val="20"/>
              </w:rPr>
            </w:pPr>
            <w:r w:rsidRPr="007440C5">
              <w:rPr>
                <w:sz w:val="20"/>
              </w:rPr>
              <w:t>8.56</w:t>
            </w:r>
          </w:p>
        </w:tc>
      </w:tr>
      <w:tr w:rsidR="007440C5" w:rsidRPr="007440C5" w:rsidTr="00BB288F">
        <w:trPr>
          <w:trHeight w:val="300"/>
        </w:trPr>
        <w:tc>
          <w:tcPr>
            <w:tcW w:w="2230" w:type="dxa"/>
            <w:noWrap/>
            <w:hideMark/>
          </w:tcPr>
          <w:p w:rsidR="007440C5" w:rsidRPr="007440C5" w:rsidRDefault="007440C5" w:rsidP="007440C5">
            <w:pPr>
              <w:spacing w:before="120"/>
              <w:rPr>
                <w:sz w:val="20"/>
              </w:rPr>
            </w:pPr>
            <w:proofErr w:type="spellStart"/>
            <w:r w:rsidRPr="007440C5">
              <w:rPr>
                <w:sz w:val="20"/>
              </w:rPr>
              <w:t>Univ</w:t>
            </w:r>
            <w:proofErr w:type="spellEnd"/>
            <w:r w:rsidRPr="007440C5">
              <w:rPr>
                <w:sz w:val="20"/>
              </w:rPr>
              <w:t xml:space="preserve"> of York</w:t>
            </w:r>
          </w:p>
        </w:tc>
        <w:tc>
          <w:tcPr>
            <w:tcW w:w="718" w:type="dxa"/>
            <w:noWrap/>
            <w:hideMark/>
          </w:tcPr>
          <w:p w:rsidR="007440C5" w:rsidRPr="007440C5" w:rsidRDefault="007440C5" w:rsidP="007440C5">
            <w:pPr>
              <w:spacing w:before="120"/>
              <w:rPr>
                <w:sz w:val="20"/>
              </w:rPr>
            </w:pPr>
            <w:r w:rsidRPr="007440C5">
              <w:rPr>
                <w:sz w:val="20"/>
              </w:rPr>
              <w:t>6.47</w:t>
            </w:r>
          </w:p>
        </w:tc>
        <w:tc>
          <w:tcPr>
            <w:tcW w:w="960" w:type="dxa"/>
            <w:noWrap/>
            <w:hideMark/>
          </w:tcPr>
          <w:p w:rsidR="007440C5" w:rsidRPr="007440C5" w:rsidRDefault="007440C5" w:rsidP="007440C5">
            <w:pPr>
              <w:spacing w:before="120"/>
              <w:rPr>
                <w:sz w:val="20"/>
              </w:rPr>
            </w:pPr>
            <w:r w:rsidRPr="007440C5">
              <w:rPr>
                <w:sz w:val="20"/>
              </w:rPr>
              <w:t>7.03</w:t>
            </w:r>
          </w:p>
        </w:tc>
        <w:tc>
          <w:tcPr>
            <w:tcW w:w="960" w:type="dxa"/>
            <w:noWrap/>
            <w:hideMark/>
          </w:tcPr>
          <w:p w:rsidR="007440C5" w:rsidRPr="007440C5" w:rsidRDefault="007440C5" w:rsidP="007440C5">
            <w:pPr>
              <w:spacing w:before="120"/>
              <w:rPr>
                <w:sz w:val="20"/>
              </w:rPr>
            </w:pPr>
            <w:r w:rsidRPr="007440C5">
              <w:rPr>
                <w:sz w:val="20"/>
              </w:rPr>
              <w:t>7.74</w:t>
            </w:r>
          </w:p>
        </w:tc>
        <w:tc>
          <w:tcPr>
            <w:tcW w:w="960" w:type="dxa"/>
            <w:noWrap/>
            <w:hideMark/>
          </w:tcPr>
          <w:p w:rsidR="007440C5" w:rsidRPr="007440C5" w:rsidRDefault="007440C5" w:rsidP="007440C5">
            <w:pPr>
              <w:spacing w:before="120"/>
              <w:rPr>
                <w:sz w:val="20"/>
              </w:rPr>
            </w:pPr>
            <w:r w:rsidRPr="007440C5">
              <w:rPr>
                <w:sz w:val="20"/>
              </w:rPr>
              <w:t>7.11</w:t>
            </w:r>
          </w:p>
        </w:tc>
        <w:tc>
          <w:tcPr>
            <w:tcW w:w="960" w:type="dxa"/>
            <w:noWrap/>
            <w:hideMark/>
          </w:tcPr>
          <w:p w:rsidR="007440C5" w:rsidRPr="007440C5" w:rsidRDefault="007440C5" w:rsidP="007440C5">
            <w:pPr>
              <w:spacing w:before="120"/>
              <w:rPr>
                <w:sz w:val="20"/>
              </w:rPr>
            </w:pPr>
            <w:r w:rsidRPr="007440C5">
              <w:rPr>
                <w:sz w:val="20"/>
              </w:rPr>
              <w:t>7.83</w:t>
            </w:r>
          </w:p>
        </w:tc>
        <w:tc>
          <w:tcPr>
            <w:tcW w:w="960" w:type="dxa"/>
            <w:noWrap/>
            <w:hideMark/>
          </w:tcPr>
          <w:p w:rsidR="007440C5" w:rsidRPr="007440C5" w:rsidRDefault="007440C5" w:rsidP="007440C5">
            <w:pPr>
              <w:spacing w:before="120"/>
              <w:rPr>
                <w:sz w:val="20"/>
              </w:rPr>
            </w:pPr>
            <w:r w:rsidRPr="007440C5">
              <w:rPr>
                <w:sz w:val="20"/>
              </w:rPr>
              <w:t>8.02</w:t>
            </w:r>
          </w:p>
        </w:tc>
      </w:tr>
      <w:tr w:rsidR="007440C5" w:rsidRPr="007440C5" w:rsidTr="00BB288F">
        <w:trPr>
          <w:trHeight w:val="300"/>
        </w:trPr>
        <w:tc>
          <w:tcPr>
            <w:tcW w:w="2230" w:type="dxa"/>
            <w:noWrap/>
            <w:hideMark/>
          </w:tcPr>
          <w:p w:rsidR="007440C5" w:rsidRPr="007440C5" w:rsidRDefault="007440C5" w:rsidP="007440C5">
            <w:pPr>
              <w:spacing w:before="120"/>
              <w:rPr>
                <w:sz w:val="20"/>
              </w:rPr>
            </w:pPr>
            <w:r w:rsidRPr="007440C5">
              <w:rPr>
                <w:sz w:val="20"/>
              </w:rPr>
              <w:t>York St John</w:t>
            </w:r>
          </w:p>
        </w:tc>
        <w:tc>
          <w:tcPr>
            <w:tcW w:w="718" w:type="dxa"/>
            <w:noWrap/>
            <w:hideMark/>
          </w:tcPr>
          <w:p w:rsidR="007440C5" w:rsidRPr="007440C5" w:rsidRDefault="007440C5" w:rsidP="007440C5">
            <w:pPr>
              <w:spacing w:before="120"/>
              <w:rPr>
                <w:sz w:val="20"/>
              </w:rPr>
            </w:pPr>
            <w:r w:rsidRPr="007440C5">
              <w:rPr>
                <w:sz w:val="20"/>
              </w:rPr>
              <w:t>2.81</w:t>
            </w:r>
          </w:p>
        </w:tc>
        <w:tc>
          <w:tcPr>
            <w:tcW w:w="960" w:type="dxa"/>
            <w:noWrap/>
            <w:hideMark/>
          </w:tcPr>
          <w:p w:rsidR="007440C5" w:rsidRPr="007440C5" w:rsidRDefault="007440C5" w:rsidP="007440C5">
            <w:pPr>
              <w:spacing w:before="120"/>
              <w:rPr>
                <w:sz w:val="20"/>
              </w:rPr>
            </w:pPr>
            <w:r w:rsidRPr="007440C5">
              <w:rPr>
                <w:sz w:val="20"/>
              </w:rPr>
              <w:t>2.73</w:t>
            </w:r>
          </w:p>
        </w:tc>
        <w:tc>
          <w:tcPr>
            <w:tcW w:w="960" w:type="dxa"/>
            <w:noWrap/>
            <w:hideMark/>
          </w:tcPr>
          <w:p w:rsidR="007440C5" w:rsidRPr="007440C5" w:rsidRDefault="007440C5" w:rsidP="007440C5">
            <w:pPr>
              <w:spacing w:before="120"/>
              <w:rPr>
                <w:sz w:val="20"/>
              </w:rPr>
            </w:pPr>
            <w:r w:rsidRPr="007440C5">
              <w:rPr>
                <w:sz w:val="20"/>
              </w:rPr>
              <w:t>2.71</w:t>
            </w:r>
          </w:p>
        </w:tc>
        <w:tc>
          <w:tcPr>
            <w:tcW w:w="960" w:type="dxa"/>
            <w:noWrap/>
            <w:hideMark/>
          </w:tcPr>
          <w:p w:rsidR="007440C5" w:rsidRPr="007440C5" w:rsidRDefault="007440C5" w:rsidP="007440C5">
            <w:pPr>
              <w:spacing w:before="120"/>
              <w:rPr>
                <w:sz w:val="20"/>
              </w:rPr>
            </w:pPr>
            <w:r w:rsidRPr="007440C5">
              <w:rPr>
                <w:sz w:val="20"/>
              </w:rPr>
              <w:t>2.87</w:t>
            </w:r>
          </w:p>
        </w:tc>
        <w:tc>
          <w:tcPr>
            <w:tcW w:w="960" w:type="dxa"/>
            <w:noWrap/>
            <w:hideMark/>
          </w:tcPr>
          <w:p w:rsidR="007440C5" w:rsidRPr="007440C5" w:rsidRDefault="007440C5" w:rsidP="007440C5">
            <w:pPr>
              <w:spacing w:before="120"/>
              <w:rPr>
                <w:sz w:val="20"/>
              </w:rPr>
            </w:pPr>
            <w:r w:rsidRPr="007440C5">
              <w:rPr>
                <w:sz w:val="20"/>
              </w:rPr>
              <w:t>3.42</w:t>
            </w:r>
          </w:p>
        </w:tc>
        <w:tc>
          <w:tcPr>
            <w:tcW w:w="960" w:type="dxa"/>
            <w:noWrap/>
            <w:hideMark/>
          </w:tcPr>
          <w:p w:rsidR="007440C5" w:rsidRPr="007440C5" w:rsidRDefault="007440C5" w:rsidP="007440C5">
            <w:pPr>
              <w:spacing w:before="120"/>
              <w:rPr>
                <w:sz w:val="20"/>
              </w:rPr>
            </w:pPr>
            <w:r w:rsidRPr="007440C5">
              <w:rPr>
                <w:sz w:val="20"/>
              </w:rPr>
              <w:t>3.71</w:t>
            </w:r>
          </w:p>
        </w:tc>
      </w:tr>
    </w:tbl>
    <w:p w:rsidR="007440C5" w:rsidRPr="007440C5" w:rsidRDefault="007440C5" w:rsidP="007440C5">
      <w:pPr>
        <w:spacing w:before="120" w:after="0"/>
        <w:ind w:firstLine="720"/>
        <w:rPr>
          <w:sz w:val="18"/>
        </w:rPr>
      </w:pPr>
      <w:r w:rsidRPr="007440C5">
        <w:rPr>
          <w:sz w:val="18"/>
        </w:rPr>
        <w:t>(</w:t>
      </w:r>
      <w:r w:rsidRPr="007440C5">
        <w:rPr>
          <w:i/>
          <w:sz w:val="18"/>
        </w:rPr>
        <w:t>Source: derived from UCAS data</w:t>
      </w:r>
      <w:r w:rsidRPr="007440C5">
        <w:rPr>
          <w:sz w:val="18"/>
        </w:rPr>
        <w:t>)</w:t>
      </w:r>
    </w:p>
    <w:p w:rsidR="007440C5" w:rsidRPr="007440C5" w:rsidRDefault="007440C5" w:rsidP="007440C5">
      <w:pPr>
        <w:rPr>
          <w:i/>
        </w:rPr>
      </w:pPr>
      <w:r w:rsidRPr="007440C5">
        <w:rPr>
          <w:i/>
        </w:rPr>
        <w:br w:type="page"/>
      </w:r>
    </w:p>
    <w:p w:rsidR="007440C5" w:rsidRPr="007440C5" w:rsidRDefault="007440C5" w:rsidP="00DE2F43">
      <w:pPr>
        <w:tabs>
          <w:tab w:val="left" w:pos="1701"/>
        </w:tabs>
        <w:spacing w:before="120" w:after="0"/>
        <w:ind w:firstLine="720"/>
        <w:rPr>
          <w:i/>
        </w:rPr>
      </w:pPr>
      <w:r w:rsidRPr="007440C5">
        <w:rPr>
          <w:i/>
        </w:rPr>
        <w:lastRenderedPageBreak/>
        <w:t xml:space="preserve">Graph 9:  </w:t>
      </w:r>
      <w:r w:rsidR="00DE2F43">
        <w:rPr>
          <w:i/>
        </w:rPr>
        <w:tab/>
      </w:r>
      <w:r w:rsidRPr="007440C5">
        <w:rPr>
          <w:i/>
        </w:rPr>
        <w:t xml:space="preserve">Regional competitor institutions: market share in Yorkshire and the Humber 2008-13 </w:t>
      </w:r>
      <w:r w:rsidR="00DE2F43">
        <w:rPr>
          <w:i/>
        </w:rPr>
        <w:tab/>
      </w:r>
      <w:r w:rsidRPr="007440C5">
        <w:rPr>
          <w:i/>
        </w:rPr>
        <w:t>(percentages, based on acceptances)</w:t>
      </w:r>
    </w:p>
    <w:p w:rsidR="007440C5" w:rsidRPr="007440C5" w:rsidRDefault="007440C5" w:rsidP="007440C5">
      <w:pPr>
        <w:spacing w:before="120" w:after="0"/>
        <w:rPr>
          <w:u w:val="single"/>
        </w:rPr>
      </w:pPr>
      <w:r w:rsidRPr="007440C5">
        <w:rPr>
          <w:noProof/>
          <w:lang w:eastAsia="en-GB"/>
        </w:rPr>
        <w:drawing>
          <wp:anchor distT="0" distB="0" distL="114300" distR="114300" simplePos="0" relativeHeight="251666432" behindDoc="0" locked="0" layoutInCell="1" allowOverlap="1" wp14:anchorId="55D5E6CA" wp14:editId="0A03C880">
            <wp:simplePos x="0" y="0"/>
            <wp:positionH relativeFrom="column">
              <wp:posOffset>440055</wp:posOffset>
            </wp:positionH>
            <wp:positionV relativeFrom="paragraph">
              <wp:posOffset>153035</wp:posOffset>
            </wp:positionV>
            <wp:extent cx="4572000" cy="2743200"/>
            <wp:effectExtent l="0" t="0" r="19050" b="1905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pPr>
    </w:p>
    <w:p w:rsidR="007440C5" w:rsidRPr="007440C5" w:rsidRDefault="007440C5" w:rsidP="007440C5">
      <w:pPr>
        <w:spacing w:before="120" w:after="0"/>
        <w:ind w:firstLine="720"/>
      </w:pPr>
      <w:r w:rsidRPr="007440C5">
        <w:rPr>
          <w:sz w:val="18"/>
        </w:rPr>
        <w:t>(</w:t>
      </w:r>
      <w:r w:rsidRPr="007440C5">
        <w:rPr>
          <w:i/>
          <w:sz w:val="18"/>
        </w:rPr>
        <w:t>Compiled from UCAS data</w:t>
      </w:r>
      <w:r w:rsidRPr="007440C5">
        <w:rPr>
          <w:sz w:val="18"/>
        </w:rPr>
        <w:t>)</w:t>
      </w:r>
    </w:p>
    <w:p w:rsidR="007440C5" w:rsidRPr="007440C5" w:rsidRDefault="007440C5" w:rsidP="007440C5">
      <w:pPr>
        <w:spacing w:before="120" w:after="0"/>
        <w:ind w:left="720"/>
      </w:pPr>
      <w:r w:rsidRPr="007440C5">
        <w:t>In the context of the landscape described above, the University of Bradford and Bradford College are in a relatively vulnerable position. In the short term at least, it is unlikely that either provider in Bradford will be one of the beneficiaries of the extension of the SNC margin of tolerance and the cap removal. On the contrary, these moves may present additional recruitment challenges to both institutions, as they seek to protect market share from some aggressive competitors who, currently at least, occupy a more clearly defined market position, some in more favourable settings. These challenges could be significantly compounded in the event that the cap is not reapplied sometime during the next government, as is here suggested.</w:t>
      </w:r>
    </w:p>
    <w:p w:rsidR="007440C5" w:rsidRPr="007440C5" w:rsidRDefault="007440C5" w:rsidP="007440C5">
      <w:pPr>
        <w:spacing w:before="120" w:after="0"/>
        <w:ind w:left="720"/>
      </w:pPr>
      <w:r w:rsidRPr="007440C5">
        <w:t>The host town or city for a higher education institution is often an important factor in attracting applicants. In Bradford this cannot pass without comment. Unlike some of its neighbours (notably in Leeds and Manchester), Bradford does not enjoy a reputation as a centre that excites young people with what it has to offer. The local authority and a host of supporting agencies are energetically pursuing major improvements to the city centre and to the quality of urban cultural life. Although the fruits of this activity are becoming evident, realising them fully will take time. Until improvements have translated positively into reputational value across the region and further afield, the marketing efforts of the local HEIs will not be able to draw constructively on the city factor. While this is not as significant for the locally recruited market segment (unusually high in Bradford – itself possibly a function of extra-Bradford perceptions and/or, historically, of limited marketing by the institutions beyond the Bradford area), it will be of increasing importance if either institution is to succeed in diversifying its recruitment base and reducing reliance on students from the city itself.</w:t>
      </w:r>
    </w:p>
    <w:p w:rsidR="007440C5" w:rsidRPr="007440C5" w:rsidRDefault="007440C5" w:rsidP="007440C5">
      <w:pPr>
        <w:spacing w:before="120" w:after="0"/>
        <w:ind w:left="720"/>
      </w:pPr>
      <w:r w:rsidRPr="007440C5">
        <w:t>Inter-institutional competition within Bradford is limited, as there is only a small degree of portfolio convergence (which includes business, law and social work). For the purposes of this study, the issue is purely academic, because it is the aggregate of student numbers in Bradford that is of consequence for the residential market, not the weighting of numbers between the institutions in contested areas.</w:t>
      </w:r>
    </w:p>
    <w:p w:rsidR="007440C5" w:rsidRPr="007440C5" w:rsidRDefault="007440C5" w:rsidP="007440C5">
      <w:pPr>
        <w:rPr>
          <w:b/>
        </w:rPr>
      </w:pPr>
      <w:r w:rsidRPr="007440C5">
        <w:rPr>
          <w:b/>
        </w:rPr>
        <w:br w:type="page"/>
      </w:r>
    </w:p>
    <w:p w:rsidR="007440C5" w:rsidRDefault="007440C5" w:rsidP="007440C5">
      <w:pPr>
        <w:spacing w:before="120" w:after="0"/>
      </w:pPr>
      <w:r w:rsidRPr="007440C5">
        <w:rPr>
          <w:b/>
        </w:rPr>
        <w:lastRenderedPageBreak/>
        <w:t>3.3</w:t>
      </w:r>
      <w:r w:rsidRPr="007440C5">
        <w:rPr>
          <w:b/>
        </w:rPr>
        <w:tab/>
        <w:t>Residential demand on the basis of student number trends</w:t>
      </w:r>
    </w:p>
    <w:p w:rsidR="003122D6" w:rsidRPr="003122D6" w:rsidRDefault="003122D6" w:rsidP="00B36D95">
      <w:pPr>
        <w:spacing w:before="120" w:after="0"/>
        <w:ind w:left="709" w:hanging="709"/>
      </w:pPr>
      <w:r>
        <w:tab/>
      </w:r>
      <w:r w:rsidR="00B36D95">
        <w:t>Commercial Services at the University of Bradford report that they plan supply on the basis of 48 per cent demand for institutional accommodation among new full-time students. They also report a consistent pattern of around 100 re-bookers of institutional accommodation each year. Table 25 and Graph 10 reflect this formula. What was not available from Commercial Services was information on the number of students in institutional accommodation who fell into neither of these categories, i.e. returning students not re-booking University accommodation.</w:t>
      </w:r>
      <w:r w:rsidR="00EA1446">
        <w:t xml:space="preserve"> This is intelligence which emerged through the part of the research concerned with student address data analysis (see Section 4).</w:t>
      </w:r>
      <w:r w:rsidR="00B36D95">
        <w:t xml:space="preserve"> </w:t>
      </w:r>
    </w:p>
    <w:p w:rsidR="00DE2F43" w:rsidRPr="007440C5" w:rsidRDefault="007440C5" w:rsidP="00DE2F43">
      <w:pPr>
        <w:tabs>
          <w:tab w:val="left" w:pos="1701"/>
        </w:tabs>
        <w:spacing w:before="120" w:after="100" w:afterAutospacing="1"/>
        <w:ind w:firstLine="720"/>
        <w:rPr>
          <w:i/>
        </w:rPr>
      </w:pPr>
      <w:r w:rsidRPr="007440C5">
        <w:rPr>
          <w:i/>
        </w:rPr>
        <w:t xml:space="preserve">Table 25:  </w:t>
      </w:r>
      <w:r w:rsidR="00DE2F43">
        <w:rPr>
          <w:i/>
        </w:rPr>
        <w:tab/>
      </w:r>
      <w:r w:rsidRPr="007440C5">
        <w:rPr>
          <w:i/>
        </w:rPr>
        <w:t>University of Bradford: demand for institutional accommodation</w:t>
      </w:r>
    </w:p>
    <w:tbl>
      <w:tblPr>
        <w:tblStyle w:val="TableGrid"/>
        <w:tblW w:w="8988" w:type="dxa"/>
        <w:tblInd w:w="768" w:type="dxa"/>
        <w:tblLook w:val="04A0" w:firstRow="1" w:lastRow="0" w:firstColumn="1" w:lastColumn="0" w:noHBand="0" w:noVBand="1"/>
      </w:tblPr>
      <w:tblGrid>
        <w:gridCol w:w="1852"/>
        <w:gridCol w:w="708"/>
        <w:gridCol w:w="713"/>
        <w:gridCol w:w="708"/>
        <w:gridCol w:w="708"/>
        <w:gridCol w:w="708"/>
        <w:gridCol w:w="708"/>
        <w:gridCol w:w="701"/>
        <w:gridCol w:w="724"/>
        <w:gridCol w:w="752"/>
        <w:gridCol w:w="706"/>
      </w:tblGrid>
      <w:tr w:rsidR="007440C5" w:rsidRPr="007440C5" w:rsidTr="007A3695">
        <w:trPr>
          <w:trHeight w:val="300"/>
        </w:trPr>
        <w:tc>
          <w:tcPr>
            <w:tcW w:w="1852" w:type="dxa"/>
            <w:noWrap/>
            <w:hideMark/>
          </w:tcPr>
          <w:p w:rsidR="007440C5" w:rsidRPr="007440C5" w:rsidRDefault="007440C5" w:rsidP="007440C5">
            <w:pPr>
              <w:spacing w:before="120"/>
              <w:rPr>
                <w:b/>
                <w:bCs/>
                <w:sz w:val="20"/>
              </w:rPr>
            </w:pPr>
          </w:p>
        </w:tc>
        <w:tc>
          <w:tcPr>
            <w:tcW w:w="708" w:type="dxa"/>
            <w:noWrap/>
            <w:hideMark/>
          </w:tcPr>
          <w:p w:rsidR="007440C5" w:rsidRPr="007440C5" w:rsidRDefault="007440C5" w:rsidP="007440C5">
            <w:pPr>
              <w:spacing w:before="120"/>
              <w:rPr>
                <w:b/>
                <w:bCs/>
                <w:sz w:val="20"/>
              </w:rPr>
            </w:pPr>
            <w:r w:rsidRPr="007440C5">
              <w:rPr>
                <w:b/>
                <w:bCs/>
                <w:sz w:val="20"/>
              </w:rPr>
              <w:t>2009/ 10</w:t>
            </w:r>
          </w:p>
        </w:tc>
        <w:tc>
          <w:tcPr>
            <w:tcW w:w="713" w:type="dxa"/>
            <w:noWrap/>
            <w:hideMark/>
          </w:tcPr>
          <w:p w:rsidR="007440C5" w:rsidRPr="007440C5" w:rsidRDefault="007440C5" w:rsidP="007440C5">
            <w:pPr>
              <w:spacing w:before="120"/>
              <w:rPr>
                <w:b/>
                <w:bCs/>
                <w:sz w:val="20"/>
              </w:rPr>
            </w:pPr>
            <w:r w:rsidRPr="007440C5">
              <w:rPr>
                <w:b/>
                <w:bCs/>
                <w:sz w:val="20"/>
              </w:rPr>
              <w:t>2010/ 11</w:t>
            </w:r>
          </w:p>
        </w:tc>
        <w:tc>
          <w:tcPr>
            <w:tcW w:w="708" w:type="dxa"/>
            <w:noWrap/>
            <w:hideMark/>
          </w:tcPr>
          <w:p w:rsidR="007440C5" w:rsidRPr="007440C5" w:rsidRDefault="007440C5" w:rsidP="007440C5">
            <w:pPr>
              <w:spacing w:before="120"/>
              <w:rPr>
                <w:b/>
                <w:bCs/>
                <w:sz w:val="20"/>
              </w:rPr>
            </w:pPr>
            <w:r w:rsidRPr="007440C5">
              <w:rPr>
                <w:b/>
                <w:bCs/>
                <w:sz w:val="20"/>
              </w:rPr>
              <w:t>2011/ 12</w:t>
            </w:r>
          </w:p>
        </w:tc>
        <w:tc>
          <w:tcPr>
            <w:tcW w:w="708" w:type="dxa"/>
            <w:noWrap/>
            <w:hideMark/>
          </w:tcPr>
          <w:p w:rsidR="007440C5" w:rsidRPr="007440C5" w:rsidRDefault="007440C5" w:rsidP="007440C5">
            <w:pPr>
              <w:spacing w:before="120"/>
              <w:rPr>
                <w:b/>
                <w:bCs/>
                <w:sz w:val="20"/>
              </w:rPr>
            </w:pPr>
            <w:r w:rsidRPr="007440C5">
              <w:rPr>
                <w:b/>
                <w:bCs/>
                <w:sz w:val="20"/>
              </w:rPr>
              <w:t>2012/ 13</w:t>
            </w:r>
          </w:p>
        </w:tc>
        <w:tc>
          <w:tcPr>
            <w:tcW w:w="708" w:type="dxa"/>
            <w:noWrap/>
            <w:hideMark/>
          </w:tcPr>
          <w:p w:rsidR="007440C5" w:rsidRPr="007440C5" w:rsidRDefault="007440C5" w:rsidP="007440C5">
            <w:pPr>
              <w:spacing w:before="120"/>
              <w:rPr>
                <w:b/>
                <w:bCs/>
                <w:sz w:val="20"/>
              </w:rPr>
            </w:pPr>
            <w:r w:rsidRPr="007440C5">
              <w:rPr>
                <w:b/>
                <w:bCs/>
                <w:sz w:val="20"/>
              </w:rPr>
              <w:t>2013/  14</w:t>
            </w:r>
          </w:p>
        </w:tc>
        <w:tc>
          <w:tcPr>
            <w:tcW w:w="708" w:type="dxa"/>
            <w:noWrap/>
            <w:hideMark/>
          </w:tcPr>
          <w:p w:rsidR="007440C5" w:rsidRPr="007440C5" w:rsidRDefault="007440C5" w:rsidP="007440C5">
            <w:pPr>
              <w:spacing w:before="120"/>
              <w:rPr>
                <w:b/>
                <w:bCs/>
                <w:sz w:val="20"/>
              </w:rPr>
            </w:pPr>
            <w:r w:rsidRPr="007440C5">
              <w:rPr>
                <w:b/>
                <w:bCs/>
                <w:sz w:val="20"/>
              </w:rPr>
              <w:t>2014/ 15</w:t>
            </w:r>
          </w:p>
        </w:tc>
        <w:tc>
          <w:tcPr>
            <w:tcW w:w="701" w:type="dxa"/>
            <w:noWrap/>
            <w:hideMark/>
          </w:tcPr>
          <w:p w:rsidR="007440C5" w:rsidRPr="007440C5" w:rsidRDefault="007440C5" w:rsidP="007440C5">
            <w:pPr>
              <w:spacing w:before="120"/>
              <w:rPr>
                <w:b/>
                <w:bCs/>
                <w:sz w:val="20"/>
              </w:rPr>
            </w:pPr>
            <w:r w:rsidRPr="007440C5">
              <w:rPr>
                <w:b/>
                <w:bCs/>
                <w:sz w:val="20"/>
              </w:rPr>
              <w:t>2015 /16</w:t>
            </w:r>
          </w:p>
        </w:tc>
        <w:tc>
          <w:tcPr>
            <w:tcW w:w="724" w:type="dxa"/>
            <w:noWrap/>
            <w:hideMark/>
          </w:tcPr>
          <w:p w:rsidR="007440C5" w:rsidRPr="007440C5" w:rsidRDefault="007440C5" w:rsidP="007440C5">
            <w:pPr>
              <w:spacing w:before="120"/>
              <w:rPr>
                <w:b/>
                <w:bCs/>
                <w:sz w:val="20"/>
              </w:rPr>
            </w:pPr>
            <w:r w:rsidRPr="007440C5">
              <w:rPr>
                <w:b/>
                <w:bCs/>
                <w:sz w:val="20"/>
              </w:rPr>
              <w:t>2016 /17</w:t>
            </w:r>
          </w:p>
        </w:tc>
        <w:tc>
          <w:tcPr>
            <w:tcW w:w="752" w:type="dxa"/>
            <w:noWrap/>
            <w:hideMark/>
          </w:tcPr>
          <w:p w:rsidR="007440C5" w:rsidRPr="007440C5" w:rsidRDefault="007440C5" w:rsidP="007440C5">
            <w:pPr>
              <w:spacing w:before="120"/>
              <w:rPr>
                <w:b/>
                <w:bCs/>
                <w:sz w:val="20"/>
              </w:rPr>
            </w:pPr>
            <w:r w:rsidRPr="007440C5">
              <w:rPr>
                <w:b/>
                <w:bCs/>
                <w:sz w:val="20"/>
              </w:rPr>
              <w:t>2017  /18</w:t>
            </w:r>
          </w:p>
        </w:tc>
        <w:tc>
          <w:tcPr>
            <w:tcW w:w="706" w:type="dxa"/>
            <w:noWrap/>
            <w:hideMark/>
          </w:tcPr>
          <w:p w:rsidR="007440C5" w:rsidRPr="007440C5" w:rsidRDefault="007440C5" w:rsidP="007440C5">
            <w:pPr>
              <w:spacing w:before="120"/>
              <w:rPr>
                <w:b/>
                <w:bCs/>
                <w:sz w:val="20"/>
              </w:rPr>
            </w:pPr>
            <w:r w:rsidRPr="007440C5">
              <w:rPr>
                <w:b/>
                <w:bCs/>
                <w:sz w:val="20"/>
              </w:rPr>
              <w:t>2018 /19</w:t>
            </w:r>
          </w:p>
        </w:tc>
      </w:tr>
      <w:tr w:rsidR="007440C5" w:rsidRPr="007440C5" w:rsidTr="007A3695">
        <w:trPr>
          <w:trHeight w:val="300"/>
        </w:trPr>
        <w:tc>
          <w:tcPr>
            <w:tcW w:w="1852" w:type="dxa"/>
            <w:noWrap/>
            <w:hideMark/>
          </w:tcPr>
          <w:p w:rsidR="007440C5" w:rsidRPr="007440C5" w:rsidRDefault="007440C5" w:rsidP="007440C5">
            <w:pPr>
              <w:spacing w:before="120"/>
              <w:rPr>
                <w:b/>
                <w:bCs/>
                <w:sz w:val="20"/>
              </w:rPr>
            </w:pPr>
            <w:r w:rsidRPr="007440C5">
              <w:rPr>
                <w:b/>
                <w:bCs/>
                <w:sz w:val="20"/>
              </w:rPr>
              <w:t>Y1 demand</w:t>
            </w:r>
          </w:p>
        </w:tc>
        <w:tc>
          <w:tcPr>
            <w:tcW w:w="708" w:type="dxa"/>
            <w:noWrap/>
            <w:hideMark/>
          </w:tcPr>
          <w:p w:rsidR="007440C5" w:rsidRPr="007440C5" w:rsidRDefault="007440C5" w:rsidP="007440C5">
            <w:pPr>
              <w:spacing w:before="120"/>
              <w:rPr>
                <w:sz w:val="20"/>
              </w:rPr>
            </w:pPr>
            <w:r w:rsidRPr="007440C5">
              <w:rPr>
                <w:sz w:val="20"/>
              </w:rPr>
              <w:t>2,110</w:t>
            </w:r>
          </w:p>
        </w:tc>
        <w:tc>
          <w:tcPr>
            <w:tcW w:w="713" w:type="dxa"/>
            <w:noWrap/>
            <w:hideMark/>
          </w:tcPr>
          <w:p w:rsidR="007440C5" w:rsidRPr="007440C5" w:rsidRDefault="007440C5" w:rsidP="007440C5">
            <w:pPr>
              <w:spacing w:before="120"/>
              <w:rPr>
                <w:sz w:val="20"/>
              </w:rPr>
            </w:pPr>
            <w:r w:rsidRPr="007440C5">
              <w:rPr>
                <w:sz w:val="20"/>
              </w:rPr>
              <w:t>1,989</w:t>
            </w:r>
          </w:p>
        </w:tc>
        <w:tc>
          <w:tcPr>
            <w:tcW w:w="708" w:type="dxa"/>
            <w:noWrap/>
            <w:hideMark/>
          </w:tcPr>
          <w:p w:rsidR="007440C5" w:rsidRPr="007440C5" w:rsidRDefault="007440C5" w:rsidP="007440C5">
            <w:pPr>
              <w:spacing w:before="120"/>
              <w:rPr>
                <w:sz w:val="20"/>
              </w:rPr>
            </w:pPr>
            <w:r w:rsidRPr="007440C5">
              <w:rPr>
                <w:sz w:val="20"/>
              </w:rPr>
              <w:t>1,998</w:t>
            </w:r>
          </w:p>
        </w:tc>
        <w:tc>
          <w:tcPr>
            <w:tcW w:w="708" w:type="dxa"/>
            <w:noWrap/>
            <w:hideMark/>
          </w:tcPr>
          <w:p w:rsidR="007440C5" w:rsidRPr="007440C5" w:rsidRDefault="007440C5" w:rsidP="007440C5">
            <w:pPr>
              <w:spacing w:before="120"/>
              <w:rPr>
                <w:sz w:val="20"/>
              </w:rPr>
            </w:pPr>
            <w:r w:rsidRPr="007440C5">
              <w:rPr>
                <w:sz w:val="20"/>
              </w:rPr>
              <w:t>1,662</w:t>
            </w:r>
          </w:p>
        </w:tc>
        <w:tc>
          <w:tcPr>
            <w:tcW w:w="708" w:type="dxa"/>
            <w:noWrap/>
            <w:hideMark/>
          </w:tcPr>
          <w:p w:rsidR="007440C5" w:rsidRPr="007440C5" w:rsidRDefault="007440C5" w:rsidP="007440C5">
            <w:pPr>
              <w:spacing w:before="120"/>
              <w:rPr>
                <w:sz w:val="20"/>
              </w:rPr>
            </w:pPr>
            <w:r w:rsidRPr="007440C5">
              <w:rPr>
                <w:sz w:val="20"/>
              </w:rPr>
              <w:t>1,641</w:t>
            </w:r>
          </w:p>
        </w:tc>
        <w:tc>
          <w:tcPr>
            <w:tcW w:w="708" w:type="dxa"/>
            <w:noWrap/>
            <w:hideMark/>
          </w:tcPr>
          <w:p w:rsidR="007440C5" w:rsidRPr="007440C5" w:rsidRDefault="007440C5" w:rsidP="007440C5">
            <w:pPr>
              <w:spacing w:before="120"/>
              <w:rPr>
                <w:sz w:val="20"/>
              </w:rPr>
            </w:pPr>
            <w:r w:rsidRPr="007440C5">
              <w:rPr>
                <w:sz w:val="20"/>
              </w:rPr>
              <w:t>1,731</w:t>
            </w:r>
          </w:p>
        </w:tc>
        <w:tc>
          <w:tcPr>
            <w:tcW w:w="701" w:type="dxa"/>
            <w:noWrap/>
            <w:hideMark/>
          </w:tcPr>
          <w:p w:rsidR="007440C5" w:rsidRPr="007440C5" w:rsidRDefault="007440C5" w:rsidP="007440C5">
            <w:pPr>
              <w:spacing w:before="120"/>
              <w:rPr>
                <w:sz w:val="20"/>
              </w:rPr>
            </w:pPr>
            <w:r w:rsidRPr="007440C5">
              <w:rPr>
                <w:sz w:val="20"/>
              </w:rPr>
              <w:t>1,809</w:t>
            </w:r>
          </w:p>
        </w:tc>
        <w:tc>
          <w:tcPr>
            <w:tcW w:w="724" w:type="dxa"/>
            <w:noWrap/>
            <w:hideMark/>
          </w:tcPr>
          <w:p w:rsidR="007440C5" w:rsidRPr="007440C5" w:rsidRDefault="007440C5" w:rsidP="007440C5">
            <w:pPr>
              <w:spacing w:before="120"/>
              <w:rPr>
                <w:sz w:val="20"/>
              </w:rPr>
            </w:pPr>
            <w:r w:rsidRPr="007440C5">
              <w:rPr>
                <w:sz w:val="20"/>
              </w:rPr>
              <w:t>1,886</w:t>
            </w:r>
          </w:p>
        </w:tc>
        <w:tc>
          <w:tcPr>
            <w:tcW w:w="752" w:type="dxa"/>
            <w:noWrap/>
            <w:hideMark/>
          </w:tcPr>
          <w:p w:rsidR="007440C5" w:rsidRPr="007440C5" w:rsidRDefault="007440C5" w:rsidP="007440C5">
            <w:pPr>
              <w:spacing w:before="120"/>
              <w:rPr>
                <w:sz w:val="20"/>
              </w:rPr>
            </w:pPr>
            <w:r w:rsidRPr="007440C5">
              <w:rPr>
                <w:sz w:val="20"/>
              </w:rPr>
              <w:t>1,964</w:t>
            </w:r>
          </w:p>
        </w:tc>
        <w:tc>
          <w:tcPr>
            <w:tcW w:w="706" w:type="dxa"/>
            <w:noWrap/>
            <w:hideMark/>
          </w:tcPr>
          <w:p w:rsidR="007440C5" w:rsidRPr="007440C5" w:rsidRDefault="007440C5" w:rsidP="007440C5">
            <w:pPr>
              <w:spacing w:before="120"/>
              <w:rPr>
                <w:sz w:val="20"/>
              </w:rPr>
            </w:pPr>
            <w:r w:rsidRPr="007440C5">
              <w:rPr>
                <w:sz w:val="20"/>
              </w:rPr>
              <w:t>2,042</w:t>
            </w:r>
          </w:p>
        </w:tc>
      </w:tr>
      <w:tr w:rsidR="007440C5" w:rsidRPr="007440C5" w:rsidTr="007A3695">
        <w:trPr>
          <w:trHeight w:val="300"/>
        </w:trPr>
        <w:tc>
          <w:tcPr>
            <w:tcW w:w="1852" w:type="dxa"/>
            <w:noWrap/>
            <w:hideMark/>
          </w:tcPr>
          <w:p w:rsidR="007440C5" w:rsidRPr="007440C5" w:rsidRDefault="007440C5" w:rsidP="0089741A">
            <w:pPr>
              <w:spacing w:before="120"/>
              <w:rPr>
                <w:b/>
                <w:bCs/>
                <w:sz w:val="20"/>
              </w:rPr>
            </w:pPr>
            <w:proofErr w:type="spellStart"/>
            <w:r w:rsidRPr="007440C5">
              <w:rPr>
                <w:b/>
                <w:bCs/>
                <w:sz w:val="20"/>
              </w:rPr>
              <w:t>Re</w:t>
            </w:r>
            <w:r w:rsidR="0089741A">
              <w:rPr>
                <w:b/>
                <w:bCs/>
                <w:sz w:val="20"/>
              </w:rPr>
              <w:t>bookers</w:t>
            </w:r>
            <w:proofErr w:type="spellEnd"/>
          </w:p>
        </w:tc>
        <w:tc>
          <w:tcPr>
            <w:tcW w:w="708" w:type="dxa"/>
            <w:noWrap/>
            <w:hideMark/>
          </w:tcPr>
          <w:p w:rsidR="007440C5" w:rsidRPr="007440C5" w:rsidRDefault="007440C5" w:rsidP="007440C5">
            <w:pPr>
              <w:spacing w:before="120"/>
              <w:rPr>
                <w:sz w:val="20"/>
              </w:rPr>
            </w:pPr>
            <w:r w:rsidRPr="007440C5">
              <w:rPr>
                <w:sz w:val="20"/>
              </w:rPr>
              <w:t>100</w:t>
            </w:r>
          </w:p>
        </w:tc>
        <w:tc>
          <w:tcPr>
            <w:tcW w:w="713" w:type="dxa"/>
            <w:noWrap/>
            <w:hideMark/>
          </w:tcPr>
          <w:p w:rsidR="007440C5" w:rsidRPr="007440C5" w:rsidRDefault="007440C5" w:rsidP="007440C5">
            <w:pPr>
              <w:spacing w:before="120"/>
              <w:rPr>
                <w:sz w:val="20"/>
              </w:rPr>
            </w:pPr>
            <w:r w:rsidRPr="007440C5">
              <w:rPr>
                <w:sz w:val="20"/>
              </w:rPr>
              <w:t>100</w:t>
            </w:r>
          </w:p>
        </w:tc>
        <w:tc>
          <w:tcPr>
            <w:tcW w:w="708" w:type="dxa"/>
            <w:noWrap/>
            <w:hideMark/>
          </w:tcPr>
          <w:p w:rsidR="007440C5" w:rsidRPr="007440C5" w:rsidRDefault="007440C5" w:rsidP="007440C5">
            <w:pPr>
              <w:spacing w:before="120"/>
              <w:rPr>
                <w:sz w:val="20"/>
              </w:rPr>
            </w:pPr>
            <w:r w:rsidRPr="007440C5">
              <w:rPr>
                <w:sz w:val="20"/>
              </w:rPr>
              <w:t>100</w:t>
            </w:r>
          </w:p>
        </w:tc>
        <w:tc>
          <w:tcPr>
            <w:tcW w:w="708" w:type="dxa"/>
            <w:noWrap/>
            <w:hideMark/>
          </w:tcPr>
          <w:p w:rsidR="007440C5" w:rsidRPr="007440C5" w:rsidRDefault="007440C5" w:rsidP="007440C5">
            <w:pPr>
              <w:spacing w:before="120"/>
              <w:rPr>
                <w:sz w:val="20"/>
              </w:rPr>
            </w:pPr>
            <w:r w:rsidRPr="007440C5">
              <w:rPr>
                <w:sz w:val="20"/>
              </w:rPr>
              <w:t>100</w:t>
            </w:r>
          </w:p>
        </w:tc>
        <w:tc>
          <w:tcPr>
            <w:tcW w:w="708" w:type="dxa"/>
            <w:noWrap/>
            <w:hideMark/>
          </w:tcPr>
          <w:p w:rsidR="007440C5" w:rsidRPr="007440C5" w:rsidRDefault="007440C5" w:rsidP="007440C5">
            <w:pPr>
              <w:spacing w:before="120"/>
              <w:rPr>
                <w:sz w:val="20"/>
              </w:rPr>
            </w:pPr>
            <w:r w:rsidRPr="007440C5">
              <w:rPr>
                <w:sz w:val="20"/>
              </w:rPr>
              <w:t>100</w:t>
            </w:r>
          </w:p>
        </w:tc>
        <w:tc>
          <w:tcPr>
            <w:tcW w:w="708" w:type="dxa"/>
            <w:noWrap/>
            <w:hideMark/>
          </w:tcPr>
          <w:p w:rsidR="007440C5" w:rsidRPr="007440C5" w:rsidRDefault="007440C5" w:rsidP="007440C5">
            <w:pPr>
              <w:spacing w:before="120"/>
              <w:rPr>
                <w:sz w:val="20"/>
              </w:rPr>
            </w:pPr>
            <w:r w:rsidRPr="007440C5">
              <w:rPr>
                <w:sz w:val="20"/>
              </w:rPr>
              <w:t>100</w:t>
            </w:r>
          </w:p>
        </w:tc>
        <w:tc>
          <w:tcPr>
            <w:tcW w:w="701" w:type="dxa"/>
            <w:noWrap/>
            <w:hideMark/>
          </w:tcPr>
          <w:p w:rsidR="007440C5" w:rsidRPr="007440C5" w:rsidRDefault="007440C5" w:rsidP="007440C5">
            <w:pPr>
              <w:spacing w:before="120"/>
              <w:rPr>
                <w:sz w:val="20"/>
              </w:rPr>
            </w:pPr>
            <w:r w:rsidRPr="007440C5">
              <w:rPr>
                <w:sz w:val="20"/>
              </w:rPr>
              <w:t>100</w:t>
            </w:r>
          </w:p>
        </w:tc>
        <w:tc>
          <w:tcPr>
            <w:tcW w:w="724" w:type="dxa"/>
            <w:noWrap/>
            <w:hideMark/>
          </w:tcPr>
          <w:p w:rsidR="007440C5" w:rsidRPr="007440C5" w:rsidRDefault="007440C5" w:rsidP="007440C5">
            <w:pPr>
              <w:spacing w:before="120"/>
              <w:rPr>
                <w:sz w:val="20"/>
              </w:rPr>
            </w:pPr>
            <w:r w:rsidRPr="007440C5">
              <w:rPr>
                <w:sz w:val="20"/>
              </w:rPr>
              <w:t>100</w:t>
            </w:r>
          </w:p>
        </w:tc>
        <w:tc>
          <w:tcPr>
            <w:tcW w:w="752" w:type="dxa"/>
            <w:noWrap/>
            <w:hideMark/>
          </w:tcPr>
          <w:p w:rsidR="007440C5" w:rsidRPr="007440C5" w:rsidRDefault="007440C5" w:rsidP="007440C5">
            <w:pPr>
              <w:spacing w:before="120"/>
              <w:rPr>
                <w:sz w:val="20"/>
              </w:rPr>
            </w:pPr>
            <w:r w:rsidRPr="007440C5">
              <w:rPr>
                <w:sz w:val="20"/>
              </w:rPr>
              <w:t>100</w:t>
            </w:r>
          </w:p>
        </w:tc>
        <w:tc>
          <w:tcPr>
            <w:tcW w:w="706" w:type="dxa"/>
            <w:noWrap/>
            <w:hideMark/>
          </w:tcPr>
          <w:p w:rsidR="007440C5" w:rsidRPr="007440C5" w:rsidRDefault="007440C5" w:rsidP="007440C5">
            <w:pPr>
              <w:spacing w:before="120"/>
              <w:rPr>
                <w:sz w:val="20"/>
              </w:rPr>
            </w:pPr>
            <w:r w:rsidRPr="007440C5">
              <w:rPr>
                <w:sz w:val="20"/>
              </w:rPr>
              <w:t>100</w:t>
            </w:r>
          </w:p>
        </w:tc>
      </w:tr>
    </w:tbl>
    <w:p w:rsidR="007440C5" w:rsidRPr="007440C5" w:rsidRDefault="007440C5" w:rsidP="007440C5">
      <w:pPr>
        <w:spacing w:before="120" w:after="0"/>
        <w:ind w:firstLine="720"/>
        <w:rPr>
          <w:sz w:val="18"/>
        </w:rPr>
      </w:pPr>
      <w:r w:rsidRPr="007440C5">
        <w:rPr>
          <w:sz w:val="18"/>
        </w:rPr>
        <w:t>(</w:t>
      </w:r>
      <w:r w:rsidRPr="007440C5">
        <w:rPr>
          <w:i/>
          <w:sz w:val="18"/>
        </w:rPr>
        <w:t>Source: University of Bradford</w:t>
      </w:r>
      <w:r w:rsidRPr="007440C5">
        <w:rPr>
          <w:sz w:val="18"/>
        </w:rPr>
        <w:t>)</w:t>
      </w:r>
    </w:p>
    <w:p w:rsidR="007440C5" w:rsidRPr="007440C5" w:rsidRDefault="007440C5" w:rsidP="007440C5">
      <w:pPr>
        <w:spacing w:before="120" w:after="0"/>
        <w:rPr>
          <w:b/>
        </w:rPr>
      </w:pPr>
      <w:r w:rsidRPr="007440C5">
        <w:rPr>
          <w:b/>
        </w:rPr>
        <w:t>3.4</w:t>
      </w:r>
      <w:r w:rsidRPr="007440C5">
        <w:rPr>
          <w:b/>
        </w:rPr>
        <w:tab/>
        <w:t>Changing student preferences</w:t>
      </w:r>
    </w:p>
    <w:p w:rsidR="007440C5" w:rsidRPr="007440C5" w:rsidRDefault="007440C5" w:rsidP="007440C5">
      <w:pPr>
        <w:tabs>
          <w:tab w:val="num" w:pos="1134"/>
        </w:tabs>
        <w:spacing w:before="120" w:after="0"/>
        <w:ind w:left="709"/>
        <w:jc w:val="both"/>
        <w:rPr>
          <w:rFonts w:eastAsia="Times New Roman" w:cs="Arial"/>
          <w:szCs w:val="20"/>
          <w:lang w:eastAsia="en-GB"/>
        </w:rPr>
      </w:pPr>
      <w:r w:rsidRPr="007440C5">
        <w:rPr>
          <w:rFonts w:eastAsia="Times New Roman" w:cs="Arial"/>
          <w:szCs w:val="20"/>
          <w:lang w:eastAsia="en-GB"/>
        </w:rPr>
        <w:t xml:space="preserve">Parents like purpose-built accommodation, its facilities and safety, but cannot afford it for the full student lifecycle. Features popular with students and their parents include </w:t>
      </w:r>
      <w:proofErr w:type="spellStart"/>
      <w:r w:rsidRPr="007440C5">
        <w:rPr>
          <w:rFonts w:eastAsia="Times New Roman" w:cs="Arial"/>
          <w:szCs w:val="20"/>
          <w:lang w:eastAsia="en-GB"/>
        </w:rPr>
        <w:t>ensuite</w:t>
      </w:r>
      <w:proofErr w:type="spellEnd"/>
      <w:r w:rsidRPr="007440C5">
        <w:rPr>
          <w:rFonts w:eastAsia="Times New Roman" w:cs="Arial"/>
          <w:szCs w:val="20"/>
          <w:lang w:eastAsia="en-GB"/>
        </w:rPr>
        <w:t xml:space="preserve"> facilities, internet access, security, on-site gyms and proximity to the city centre and the universities.</w:t>
      </w:r>
    </w:p>
    <w:p w:rsidR="007440C5" w:rsidRPr="007440C5" w:rsidRDefault="007440C5" w:rsidP="007440C5">
      <w:pPr>
        <w:tabs>
          <w:tab w:val="num" w:pos="1134"/>
        </w:tabs>
        <w:spacing w:before="120" w:after="0"/>
        <w:ind w:left="709"/>
        <w:jc w:val="both"/>
        <w:rPr>
          <w:rFonts w:eastAsia="Times New Roman" w:cs="Arial"/>
          <w:szCs w:val="20"/>
          <w:lang w:eastAsia="en-GB"/>
        </w:rPr>
      </w:pPr>
      <w:r w:rsidRPr="007440C5">
        <w:rPr>
          <w:rFonts w:eastAsia="Times New Roman" w:cs="Arial"/>
          <w:szCs w:val="20"/>
          <w:lang w:eastAsia="en-GB"/>
        </w:rPr>
        <w:t>Students tend to prefer and to expect to live in purpose-built accommodation in their first year but more often than not move out for their remaining studies.  Some research has indicated a significant proportion of students with a strong preference for private rented accommodation, and it has been widely established that the option of a private rented house/flat becomes more attractive to students, the more they progress through their study career. (Research in Nottingham has found that a move from halls/larger developments into off-street housing within the private rented sector in the second or subsequent year of the course was viewed as a ‘natural progression’ and a desirable step in gaining personal independence and maturity.</w:t>
      </w:r>
      <w:r w:rsidRPr="007440C5">
        <w:rPr>
          <w:rFonts w:eastAsia="Times New Roman" w:cs="Arial"/>
          <w:szCs w:val="20"/>
          <w:vertAlign w:val="superscript"/>
          <w:lang w:eastAsia="en-GB"/>
        </w:rPr>
        <w:footnoteReference w:id="23"/>
      </w:r>
      <w:r w:rsidRPr="007440C5">
        <w:rPr>
          <w:rFonts w:eastAsia="Times New Roman" w:cs="Arial"/>
          <w:szCs w:val="20"/>
          <w:lang w:eastAsia="en-GB"/>
        </w:rPr>
        <w:t>)</w:t>
      </w:r>
    </w:p>
    <w:p w:rsidR="007440C5" w:rsidRPr="007440C5" w:rsidRDefault="007440C5" w:rsidP="007440C5">
      <w:pPr>
        <w:spacing w:before="120" w:after="0"/>
        <w:ind w:left="720"/>
        <w:rPr>
          <w:color w:val="000000"/>
          <w:szCs w:val="20"/>
        </w:rPr>
      </w:pPr>
      <w:r w:rsidRPr="007440C5">
        <w:rPr>
          <w:color w:val="000000"/>
          <w:szCs w:val="20"/>
        </w:rPr>
        <w:t xml:space="preserve">In cities like Nottingham and Leeds, the attractiveness of the off-street sector has been reinforced by the increasing influence of accreditation.  In addition to the ANUK/Unipol National Codes for large developments, Unipol operates an accreditation scheme for off-street properties in Leeds, Nottingham, and of course in Bradford.  </w:t>
      </w:r>
    </w:p>
    <w:p w:rsidR="007440C5" w:rsidRPr="007440C5" w:rsidRDefault="007440C5" w:rsidP="007440C5">
      <w:pPr>
        <w:tabs>
          <w:tab w:val="num" w:pos="1134"/>
        </w:tabs>
        <w:spacing w:before="120" w:after="0"/>
        <w:ind w:left="709"/>
        <w:jc w:val="both"/>
        <w:rPr>
          <w:rFonts w:eastAsia="Times New Roman" w:cs="Arial"/>
          <w:szCs w:val="20"/>
          <w:lang w:eastAsia="en-GB"/>
        </w:rPr>
      </w:pPr>
      <w:r w:rsidRPr="007440C5">
        <w:rPr>
          <w:rFonts w:eastAsia="Times New Roman" w:cs="Arial"/>
          <w:szCs w:val="20"/>
          <w:lang w:eastAsia="en-GB"/>
        </w:rPr>
        <w:t>However, against the long-standing ‘progression’ model in the student lifecycle, research in Nottingham by Unipol has shown that there is evidence of an increasing proportion of returning students choosing to remain in, or move back into, purpose-built accommodation.</w:t>
      </w:r>
      <w:r w:rsidR="008B7CEB">
        <w:rPr>
          <w:rStyle w:val="FootnoteReference"/>
          <w:rFonts w:eastAsia="Times New Roman" w:cs="Arial"/>
          <w:szCs w:val="20"/>
          <w:lang w:eastAsia="en-GB"/>
        </w:rPr>
        <w:footnoteReference w:id="24"/>
      </w:r>
      <w:r w:rsidRPr="007440C5">
        <w:rPr>
          <w:rFonts w:eastAsia="Times New Roman" w:cs="Arial"/>
          <w:szCs w:val="20"/>
          <w:lang w:eastAsia="en-GB"/>
        </w:rPr>
        <w:t xml:space="preserve"> Those opting for purpose-built provision tend to mention the more functional aspects associated with this accommodation type, such as on-site management, new facilities and value for money/inclusive bills but also refer to the social opportunities that larger developments have to offer. </w:t>
      </w:r>
    </w:p>
    <w:p w:rsidR="007440C5" w:rsidRPr="007440C5" w:rsidRDefault="007440C5" w:rsidP="007440C5">
      <w:pPr>
        <w:spacing w:before="120" w:after="0"/>
        <w:ind w:left="709"/>
        <w:jc w:val="both"/>
        <w:rPr>
          <w:rFonts w:eastAsia="Times New Roman" w:cs="Arial"/>
          <w:szCs w:val="20"/>
          <w:lang w:eastAsia="en-GB"/>
        </w:rPr>
      </w:pPr>
      <w:r w:rsidRPr="007440C5">
        <w:rPr>
          <w:rFonts w:eastAsia="Times New Roman" w:cs="Arial"/>
          <w:szCs w:val="20"/>
          <w:lang w:eastAsia="en-GB"/>
        </w:rPr>
        <w:t>There has also been evidence in both Nottingham</w:t>
      </w:r>
      <w:r w:rsidR="00AF22A6">
        <w:rPr>
          <w:rStyle w:val="FootnoteReference"/>
          <w:rFonts w:eastAsia="Times New Roman" w:cs="Arial"/>
          <w:szCs w:val="20"/>
          <w:lang w:eastAsia="en-GB"/>
        </w:rPr>
        <w:footnoteReference w:id="25"/>
      </w:r>
      <w:r w:rsidRPr="007440C5">
        <w:rPr>
          <w:rFonts w:eastAsia="Times New Roman" w:cs="Arial"/>
          <w:szCs w:val="20"/>
          <w:lang w:eastAsia="en-GB"/>
        </w:rPr>
        <w:t xml:space="preserve"> and Leeds</w:t>
      </w:r>
      <w:r w:rsidR="00AF22A6">
        <w:rPr>
          <w:rStyle w:val="FootnoteReference"/>
          <w:rFonts w:eastAsia="Times New Roman" w:cs="Arial"/>
          <w:szCs w:val="20"/>
          <w:lang w:eastAsia="en-GB"/>
        </w:rPr>
        <w:footnoteReference w:id="26"/>
      </w:r>
      <w:r w:rsidRPr="007440C5">
        <w:rPr>
          <w:rFonts w:eastAsia="Times New Roman" w:cs="Arial"/>
          <w:szCs w:val="20"/>
          <w:lang w:eastAsia="en-GB"/>
        </w:rPr>
        <w:t xml:space="preserve"> of a movement of s</w:t>
      </w:r>
      <w:r w:rsidR="00AF22A6">
        <w:rPr>
          <w:rFonts w:eastAsia="Times New Roman" w:cs="Arial"/>
          <w:szCs w:val="20"/>
          <w:lang w:eastAsia="en-GB"/>
        </w:rPr>
        <w:t>tudents from housing in areas fu</w:t>
      </w:r>
      <w:r w:rsidRPr="007440C5">
        <w:rPr>
          <w:rFonts w:eastAsia="Times New Roman" w:cs="Arial"/>
          <w:szCs w:val="20"/>
          <w:lang w:eastAsia="en-GB"/>
        </w:rPr>
        <w:t xml:space="preserve">rther away from their </w:t>
      </w:r>
      <w:r w:rsidR="00AF22A6">
        <w:rPr>
          <w:rFonts w:eastAsia="Times New Roman" w:cs="Arial"/>
          <w:szCs w:val="20"/>
          <w:lang w:eastAsia="en-GB"/>
        </w:rPr>
        <w:t>places of study to PBSA and off-</w:t>
      </w:r>
      <w:r w:rsidRPr="007440C5">
        <w:rPr>
          <w:rFonts w:eastAsia="Times New Roman" w:cs="Arial"/>
          <w:szCs w:val="20"/>
          <w:lang w:eastAsia="en-GB"/>
        </w:rPr>
        <w:t xml:space="preserve">street shared housing in </w:t>
      </w:r>
      <w:r w:rsidRPr="007440C5">
        <w:rPr>
          <w:rFonts w:eastAsia="Times New Roman" w:cs="Arial"/>
          <w:szCs w:val="20"/>
          <w:lang w:eastAsia="en-GB"/>
        </w:rPr>
        <w:lastRenderedPageBreak/>
        <w:t>areas close to the city centre and the universities. The research found that there were a number of reasons for this:</w:t>
      </w:r>
    </w:p>
    <w:p w:rsidR="007440C5" w:rsidRPr="007440C5" w:rsidRDefault="007440C5" w:rsidP="00A75D79">
      <w:pPr>
        <w:numPr>
          <w:ilvl w:val="1"/>
          <w:numId w:val="7"/>
        </w:numPr>
        <w:tabs>
          <w:tab w:val="clear" w:pos="1080"/>
        </w:tabs>
        <w:spacing w:before="120" w:after="0"/>
        <w:ind w:left="993" w:hanging="273"/>
        <w:jc w:val="both"/>
        <w:rPr>
          <w:rFonts w:eastAsia="Times New Roman" w:cs="Arial"/>
          <w:szCs w:val="20"/>
          <w:lang w:eastAsia="en-GB"/>
        </w:rPr>
      </w:pPr>
      <w:r w:rsidRPr="007440C5">
        <w:rPr>
          <w:rFonts w:eastAsia="Times New Roman" w:cs="Arial"/>
          <w:szCs w:val="20"/>
          <w:lang w:eastAsia="en-GB"/>
        </w:rPr>
        <w:t>a continuing movement of post-Year 1 students from purpose-built accommodation into off-street housing in the immediate surrounding areas</w:t>
      </w:r>
    </w:p>
    <w:p w:rsidR="007440C5" w:rsidRPr="007440C5" w:rsidRDefault="007440C5" w:rsidP="00A75D79">
      <w:pPr>
        <w:numPr>
          <w:ilvl w:val="1"/>
          <w:numId w:val="7"/>
        </w:numPr>
        <w:tabs>
          <w:tab w:val="clear" w:pos="1080"/>
        </w:tabs>
        <w:spacing w:before="120" w:after="0"/>
        <w:ind w:left="993" w:hanging="273"/>
        <w:jc w:val="both"/>
        <w:rPr>
          <w:rFonts w:eastAsia="Times New Roman" w:cs="Arial"/>
          <w:szCs w:val="20"/>
          <w:lang w:eastAsia="en-GB"/>
        </w:rPr>
      </w:pPr>
      <w:r w:rsidRPr="007440C5">
        <w:rPr>
          <w:rFonts w:eastAsia="Times New Roman" w:cs="Arial"/>
          <w:szCs w:val="20"/>
          <w:lang w:eastAsia="en-GB"/>
        </w:rPr>
        <w:t>high student awareness of travel costs/time from areas farthest from the universities/city centre</w:t>
      </w:r>
    </w:p>
    <w:p w:rsidR="007440C5" w:rsidRPr="007440C5" w:rsidRDefault="007440C5" w:rsidP="00A75D79">
      <w:pPr>
        <w:numPr>
          <w:ilvl w:val="1"/>
          <w:numId w:val="7"/>
        </w:numPr>
        <w:tabs>
          <w:tab w:val="clear" w:pos="1080"/>
        </w:tabs>
        <w:spacing w:before="120" w:after="0"/>
        <w:ind w:left="993" w:hanging="273"/>
        <w:jc w:val="both"/>
        <w:rPr>
          <w:rFonts w:eastAsia="Times New Roman" w:cs="Arial"/>
          <w:szCs w:val="20"/>
          <w:lang w:eastAsia="en-GB"/>
        </w:rPr>
      </w:pPr>
      <w:r w:rsidRPr="007440C5">
        <w:rPr>
          <w:rFonts w:eastAsia="Times New Roman" w:cs="Arial"/>
          <w:szCs w:val="20"/>
          <w:lang w:eastAsia="en-GB"/>
        </w:rPr>
        <w:t>increasing evidence of ‘friends following friends’ over recent years, partly as a result of the use of social media</w:t>
      </w:r>
    </w:p>
    <w:p w:rsidR="007440C5" w:rsidRPr="007440C5" w:rsidRDefault="007440C5" w:rsidP="00A75D79">
      <w:pPr>
        <w:numPr>
          <w:ilvl w:val="1"/>
          <w:numId w:val="7"/>
        </w:numPr>
        <w:tabs>
          <w:tab w:val="clear" w:pos="1080"/>
        </w:tabs>
        <w:spacing w:before="120" w:after="0"/>
        <w:ind w:left="993" w:hanging="273"/>
        <w:jc w:val="both"/>
        <w:rPr>
          <w:rFonts w:eastAsia="Times New Roman" w:cs="Arial"/>
          <w:szCs w:val="20"/>
          <w:lang w:eastAsia="en-GB"/>
        </w:rPr>
      </w:pPr>
      <w:proofErr w:type="gramStart"/>
      <w:r w:rsidRPr="007440C5">
        <w:rPr>
          <w:rFonts w:eastAsia="Times New Roman" w:cs="Arial"/>
          <w:szCs w:val="20"/>
          <w:lang w:eastAsia="en-GB"/>
        </w:rPr>
        <w:t>growing</w:t>
      </w:r>
      <w:proofErr w:type="gramEnd"/>
      <w:r w:rsidRPr="007440C5">
        <w:rPr>
          <w:rFonts w:eastAsia="Times New Roman" w:cs="Arial"/>
          <w:szCs w:val="20"/>
          <w:lang w:eastAsia="en-GB"/>
        </w:rPr>
        <w:t xml:space="preserve"> demand from larger groups of students seeking larger properties close to the universities.</w:t>
      </w:r>
    </w:p>
    <w:p w:rsidR="007440C5" w:rsidRPr="007440C5" w:rsidRDefault="007440C5" w:rsidP="007440C5">
      <w:pPr>
        <w:spacing w:before="120" w:after="0"/>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7440C5" w:rsidRPr="007440C5" w:rsidRDefault="007440C5" w:rsidP="007440C5">
      <w:pPr>
        <w:rPr>
          <w:b/>
          <w:sz w:val="28"/>
        </w:rPr>
      </w:pPr>
    </w:p>
    <w:p w:rsidR="00AF22A6" w:rsidRDefault="00AF22A6">
      <w:pPr>
        <w:rPr>
          <w:b/>
          <w:sz w:val="28"/>
        </w:rPr>
      </w:pPr>
      <w:r>
        <w:rPr>
          <w:b/>
          <w:sz w:val="28"/>
        </w:rPr>
        <w:br w:type="page"/>
      </w:r>
    </w:p>
    <w:p w:rsidR="007440C5" w:rsidRPr="007440C5" w:rsidRDefault="00A75D79" w:rsidP="007440C5">
      <w:pPr>
        <w:rPr>
          <w:b/>
          <w:sz w:val="28"/>
        </w:rPr>
      </w:pPr>
      <w:r>
        <w:rPr>
          <w:b/>
          <w:sz w:val="36"/>
        </w:rPr>
        <w:lastRenderedPageBreak/>
        <w:tab/>
      </w:r>
      <w:r w:rsidR="007440C5" w:rsidRPr="007440C5">
        <w:rPr>
          <w:b/>
          <w:sz w:val="36"/>
        </w:rPr>
        <w:t>Section 4</w:t>
      </w:r>
      <w:r>
        <w:rPr>
          <w:b/>
          <w:sz w:val="36"/>
        </w:rPr>
        <w:t>:</w:t>
      </w:r>
      <w:r w:rsidR="007440C5" w:rsidRPr="007440C5">
        <w:rPr>
          <w:b/>
          <w:sz w:val="36"/>
        </w:rPr>
        <w:tab/>
        <w:t xml:space="preserve">Student housing locational and housing </w:t>
      </w:r>
      <w:r>
        <w:rPr>
          <w:b/>
          <w:sz w:val="36"/>
        </w:rPr>
        <w:tab/>
      </w:r>
      <w:r w:rsidR="007440C5" w:rsidRPr="007440C5">
        <w:rPr>
          <w:b/>
          <w:sz w:val="36"/>
        </w:rPr>
        <w:t>patterns in Bradford</w:t>
      </w:r>
    </w:p>
    <w:p w:rsidR="007440C5" w:rsidRPr="007440C5" w:rsidRDefault="007440C5" w:rsidP="00A75D79">
      <w:pPr>
        <w:ind w:left="709" w:hanging="709"/>
      </w:pPr>
      <w:r w:rsidRPr="00A75D79">
        <w:t>4.0</w:t>
      </w:r>
      <w:r w:rsidRPr="007440C5">
        <w:rPr>
          <w:b/>
        </w:rPr>
        <w:tab/>
      </w:r>
      <w:r w:rsidRPr="007440C5">
        <w:t>This section presents data on the residential location and accommodation types chosen by students at the University of Bradford and at Bradford College.  It considers the balance between students living in and studying in Bradford and students living outside Bradford but studying at the two institutions. It also considers the balance between accommodation types and trends in residence over the period from 2009 to 2014.</w:t>
      </w:r>
    </w:p>
    <w:p w:rsidR="007440C5" w:rsidRPr="007440C5" w:rsidRDefault="007440C5" w:rsidP="007440C5">
      <w:pPr>
        <w:rPr>
          <w:b/>
        </w:rPr>
      </w:pPr>
      <w:r w:rsidRPr="007440C5">
        <w:rPr>
          <w:b/>
        </w:rPr>
        <w:t>4.1</w:t>
      </w:r>
      <w:r w:rsidRPr="007440C5">
        <w:rPr>
          <w:b/>
        </w:rPr>
        <w:tab/>
        <w:t>Residential location of University of Bradford students</w:t>
      </w:r>
    </w:p>
    <w:p w:rsidR="007440C5" w:rsidRPr="007440C5" w:rsidRDefault="007440C5" w:rsidP="007440C5">
      <w:pPr>
        <w:ind w:left="720" w:hanging="720"/>
      </w:pPr>
      <w:r w:rsidRPr="007440C5">
        <w:t>4.1.1</w:t>
      </w:r>
      <w:r w:rsidRPr="007440C5">
        <w:tab/>
        <w:t>The address records from the University of Bradford show that there were 10,375 students studying at the University.</w:t>
      </w:r>
    </w:p>
    <w:p w:rsidR="007440C5" w:rsidRPr="007440C5" w:rsidRDefault="007440C5" w:rsidP="00A75D79">
      <w:pPr>
        <w:tabs>
          <w:tab w:val="left" w:pos="1701"/>
        </w:tabs>
        <w:ind w:firstLine="720"/>
        <w:rPr>
          <w:i/>
        </w:rPr>
      </w:pPr>
      <w:r w:rsidRPr="007440C5">
        <w:rPr>
          <w:i/>
        </w:rPr>
        <w:t>Table 26:</w:t>
      </w:r>
      <w:r w:rsidR="00A75D79">
        <w:rPr>
          <w:i/>
        </w:rPr>
        <w:tab/>
      </w:r>
      <w:r w:rsidRPr="007440C5">
        <w:rPr>
          <w:i/>
        </w:rPr>
        <w:t>Residential location of University of Bradford students</w:t>
      </w:r>
    </w:p>
    <w:tbl>
      <w:tblPr>
        <w:tblStyle w:val="TableGrid"/>
        <w:tblW w:w="0" w:type="auto"/>
        <w:tblInd w:w="738" w:type="dxa"/>
        <w:tblLook w:val="04A0" w:firstRow="1" w:lastRow="0" w:firstColumn="1" w:lastColumn="0" w:noHBand="0" w:noVBand="1"/>
      </w:tblPr>
      <w:tblGrid>
        <w:gridCol w:w="4528"/>
        <w:gridCol w:w="1087"/>
        <w:gridCol w:w="1189"/>
      </w:tblGrid>
      <w:tr w:rsidR="007440C5" w:rsidRPr="007440C5" w:rsidTr="00BB288F">
        <w:tc>
          <w:tcPr>
            <w:tcW w:w="4528" w:type="dxa"/>
          </w:tcPr>
          <w:p w:rsidR="007440C5" w:rsidRPr="007440C5" w:rsidRDefault="007440C5" w:rsidP="007440C5">
            <w:pPr>
              <w:spacing w:before="60" w:after="60"/>
              <w:rPr>
                <w:b/>
                <w:sz w:val="20"/>
                <w:szCs w:val="20"/>
              </w:rPr>
            </w:pPr>
            <w:r w:rsidRPr="007440C5">
              <w:rPr>
                <w:b/>
                <w:sz w:val="20"/>
                <w:szCs w:val="20"/>
              </w:rPr>
              <w:t>Location of term-time residence</w:t>
            </w:r>
          </w:p>
        </w:tc>
        <w:tc>
          <w:tcPr>
            <w:tcW w:w="1087" w:type="dxa"/>
          </w:tcPr>
          <w:p w:rsidR="007440C5" w:rsidRPr="007440C5" w:rsidRDefault="007440C5" w:rsidP="007440C5">
            <w:pPr>
              <w:spacing w:before="60" w:after="60"/>
              <w:jc w:val="center"/>
              <w:rPr>
                <w:b/>
                <w:sz w:val="20"/>
                <w:szCs w:val="20"/>
              </w:rPr>
            </w:pPr>
            <w:r w:rsidRPr="007440C5">
              <w:rPr>
                <w:b/>
                <w:sz w:val="20"/>
                <w:szCs w:val="20"/>
              </w:rPr>
              <w:t>No</w:t>
            </w:r>
          </w:p>
        </w:tc>
        <w:tc>
          <w:tcPr>
            <w:tcW w:w="1189" w:type="dxa"/>
          </w:tcPr>
          <w:p w:rsidR="007440C5" w:rsidRPr="007440C5" w:rsidRDefault="007440C5" w:rsidP="007440C5">
            <w:pPr>
              <w:spacing w:before="60" w:after="60"/>
              <w:jc w:val="center"/>
              <w:rPr>
                <w:b/>
                <w:sz w:val="20"/>
                <w:szCs w:val="20"/>
              </w:rPr>
            </w:pPr>
            <w:r w:rsidRPr="007440C5">
              <w:rPr>
                <w:b/>
                <w:sz w:val="20"/>
                <w:szCs w:val="20"/>
              </w:rPr>
              <w:t>%</w:t>
            </w:r>
          </w:p>
        </w:tc>
      </w:tr>
      <w:tr w:rsidR="007440C5" w:rsidRPr="007440C5" w:rsidTr="00BB288F">
        <w:tc>
          <w:tcPr>
            <w:tcW w:w="4528" w:type="dxa"/>
          </w:tcPr>
          <w:p w:rsidR="007440C5" w:rsidRPr="007440C5" w:rsidRDefault="007440C5" w:rsidP="007440C5">
            <w:pPr>
              <w:spacing w:before="60" w:after="60"/>
              <w:rPr>
                <w:sz w:val="20"/>
                <w:szCs w:val="20"/>
              </w:rPr>
            </w:pPr>
            <w:r w:rsidRPr="007440C5">
              <w:rPr>
                <w:sz w:val="20"/>
                <w:szCs w:val="20"/>
              </w:rPr>
              <w:t>Within Bradford</w:t>
            </w:r>
          </w:p>
        </w:tc>
        <w:tc>
          <w:tcPr>
            <w:tcW w:w="1087" w:type="dxa"/>
          </w:tcPr>
          <w:p w:rsidR="007440C5" w:rsidRPr="007440C5" w:rsidRDefault="007440C5" w:rsidP="007440C5">
            <w:pPr>
              <w:spacing w:before="60" w:after="60"/>
              <w:jc w:val="center"/>
              <w:rPr>
                <w:sz w:val="20"/>
                <w:szCs w:val="20"/>
              </w:rPr>
            </w:pPr>
            <w:r w:rsidRPr="007440C5">
              <w:rPr>
                <w:sz w:val="20"/>
                <w:szCs w:val="20"/>
              </w:rPr>
              <w:t>7,271</w:t>
            </w:r>
          </w:p>
        </w:tc>
        <w:tc>
          <w:tcPr>
            <w:tcW w:w="1189" w:type="dxa"/>
          </w:tcPr>
          <w:p w:rsidR="007440C5" w:rsidRPr="007440C5" w:rsidRDefault="007440C5" w:rsidP="007440C5">
            <w:pPr>
              <w:spacing w:before="60" w:after="60"/>
              <w:jc w:val="center"/>
              <w:rPr>
                <w:sz w:val="20"/>
                <w:szCs w:val="20"/>
              </w:rPr>
            </w:pPr>
            <w:r w:rsidRPr="007440C5">
              <w:rPr>
                <w:sz w:val="20"/>
                <w:szCs w:val="20"/>
              </w:rPr>
              <w:t>70.0%</w:t>
            </w:r>
          </w:p>
        </w:tc>
      </w:tr>
      <w:tr w:rsidR="007440C5" w:rsidRPr="007440C5" w:rsidTr="00BB288F">
        <w:tc>
          <w:tcPr>
            <w:tcW w:w="4528" w:type="dxa"/>
          </w:tcPr>
          <w:p w:rsidR="007440C5" w:rsidRPr="007440C5" w:rsidRDefault="007440C5" w:rsidP="007440C5">
            <w:pPr>
              <w:spacing w:before="60" w:after="60"/>
              <w:rPr>
                <w:sz w:val="20"/>
                <w:szCs w:val="20"/>
              </w:rPr>
            </w:pPr>
            <w:r w:rsidRPr="007440C5">
              <w:rPr>
                <w:sz w:val="20"/>
                <w:szCs w:val="20"/>
              </w:rPr>
              <w:t>In other parts of West Yorkshire</w:t>
            </w:r>
          </w:p>
        </w:tc>
        <w:tc>
          <w:tcPr>
            <w:tcW w:w="1087" w:type="dxa"/>
          </w:tcPr>
          <w:p w:rsidR="007440C5" w:rsidRPr="007440C5" w:rsidRDefault="007440C5" w:rsidP="007440C5">
            <w:pPr>
              <w:spacing w:before="60" w:after="60"/>
              <w:jc w:val="center"/>
              <w:rPr>
                <w:sz w:val="20"/>
                <w:szCs w:val="20"/>
              </w:rPr>
            </w:pPr>
            <w:r w:rsidRPr="007440C5">
              <w:rPr>
                <w:sz w:val="20"/>
                <w:szCs w:val="20"/>
              </w:rPr>
              <w:t>2,130</w:t>
            </w:r>
          </w:p>
        </w:tc>
        <w:tc>
          <w:tcPr>
            <w:tcW w:w="1189" w:type="dxa"/>
          </w:tcPr>
          <w:p w:rsidR="007440C5" w:rsidRPr="007440C5" w:rsidRDefault="007440C5" w:rsidP="007440C5">
            <w:pPr>
              <w:spacing w:before="60" w:after="60"/>
              <w:jc w:val="center"/>
              <w:rPr>
                <w:sz w:val="20"/>
                <w:szCs w:val="20"/>
              </w:rPr>
            </w:pPr>
            <w:r w:rsidRPr="007440C5">
              <w:rPr>
                <w:sz w:val="20"/>
                <w:szCs w:val="20"/>
              </w:rPr>
              <w:t>20.5%</w:t>
            </w:r>
          </w:p>
        </w:tc>
      </w:tr>
      <w:tr w:rsidR="007440C5" w:rsidRPr="007440C5" w:rsidTr="00BB288F">
        <w:tc>
          <w:tcPr>
            <w:tcW w:w="4528" w:type="dxa"/>
          </w:tcPr>
          <w:p w:rsidR="007440C5" w:rsidRPr="007440C5" w:rsidRDefault="007440C5" w:rsidP="007440C5">
            <w:pPr>
              <w:spacing w:before="60" w:after="60"/>
              <w:rPr>
                <w:i/>
                <w:sz w:val="20"/>
                <w:szCs w:val="20"/>
              </w:rPr>
            </w:pPr>
            <w:r w:rsidRPr="007440C5">
              <w:rPr>
                <w:i/>
                <w:sz w:val="20"/>
                <w:szCs w:val="20"/>
              </w:rPr>
              <w:t xml:space="preserve">   Leeds</w:t>
            </w:r>
          </w:p>
        </w:tc>
        <w:tc>
          <w:tcPr>
            <w:tcW w:w="1087"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957</w:t>
            </w:r>
          </w:p>
        </w:tc>
        <w:tc>
          <w:tcPr>
            <w:tcW w:w="1189"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9.2%</w:t>
            </w:r>
          </w:p>
        </w:tc>
      </w:tr>
      <w:tr w:rsidR="007440C5" w:rsidRPr="007440C5" w:rsidTr="00BB288F">
        <w:tc>
          <w:tcPr>
            <w:tcW w:w="4528" w:type="dxa"/>
          </w:tcPr>
          <w:p w:rsidR="007440C5" w:rsidRPr="007440C5" w:rsidRDefault="007440C5" w:rsidP="007440C5">
            <w:pPr>
              <w:spacing w:before="60" w:after="60"/>
              <w:rPr>
                <w:i/>
                <w:sz w:val="20"/>
                <w:szCs w:val="20"/>
              </w:rPr>
            </w:pPr>
            <w:r w:rsidRPr="007440C5">
              <w:rPr>
                <w:i/>
                <w:sz w:val="20"/>
                <w:szCs w:val="20"/>
              </w:rPr>
              <w:t xml:space="preserve">   Kirklees</w:t>
            </w:r>
          </w:p>
        </w:tc>
        <w:tc>
          <w:tcPr>
            <w:tcW w:w="1087"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657</w:t>
            </w:r>
          </w:p>
        </w:tc>
        <w:tc>
          <w:tcPr>
            <w:tcW w:w="1189"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6.3%</w:t>
            </w:r>
          </w:p>
        </w:tc>
      </w:tr>
      <w:tr w:rsidR="007440C5" w:rsidRPr="007440C5" w:rsidTr="00BB288F">
        <w:tc>
          <w:tcPr>
            <w:tcW w:w="4528" w:type="dxa"/>
          </w:tcPr>
          <w:p w:rsidR="007440C5" w:rsidRPr="007440C5" w:rsidRDefault="007440C5" w:rsidP="007440C5">
            <w:pPr>
              <w:spacing w:before="60" w:after="60"/>
              <w:rPr>
                <w:i/>
                <w:sz w:val="20"/>
                <w:szCs w:val="20"/>
              </w:rPr>
            </w:pPr>
            <w:r w:rsidRPr="007440C5">
              <w:rPr>
                <w:i/>
                <w:sz w:val="20"/>
                <w:szCs w:val="20"/>
              </w:rPr>
              <w:t xml:space="preserve">   Calderdale</w:t>
            </w:r>
          </w:p>
        </w:tc>
        <w:tc>
          <w:tcPr>
            <w:tcW w:w="1087"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391</w:t>
            </w:r>
          </w:p>
        </w:tc>
        <w:tc>
          <w:tcPr>
            <w:tcW w:w="1189"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3.8%</w:t>
            </w:r>
          </w:p>
        </w:tc>
      </w:tr>
      <w:tr w:rsidR="007440C5" w:rsidRPr="007440C5" w:rsidTr="00BB288F">
        <w:tc>
          <w:tcPr>
            <w:tcW w:w="4528" w:type="dxa"/>
          </w:tcPr>
          <w:p w:rsidR="007440C5" w:rsidRPr="007440C5" w:rsidRDefault="007440C5" w:rsidP="007440C5">
            <w:pPr>
              <w:spacing w:before="60" w:after="60"/>
              <w:rPr>
                <w:i/>
                <w:sz w:val="20"/>
                <w:szCs w:val="20"/>
              </w:rPr>
            </w:pPr>
            <w:r w:rsidRPr="007440C5">
              <w:rPr>
                <w:i/>
                <w:sz w:val="20"/>
                <w:szCs w:val="20"/>
              </w:rPr>
              <w:t xml:space="preserve">   Wakefield</w:t>
            </w:r>
          </w:p>
        </w:tc>
        <w:tc>
          <w:tcPr>
            <w:tcW w:w="1087"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125</w:t>
            </w:r>
          </w:p>
        </w:tc>
        <w:tc>
          <w:tcPr>
            <w:tcW w:w="1189" w:type="dxa"/>
          </w:tcPr>
          <w:p w:rsidR="007440C5" w:rsidRPr="007440C5" w:rsidRDefault="007440C5" w:rsidP="007440C5">
            <w:pPr>
              <w:spacing w:before="60" w:after="60"/>
              <w:jc w:val="center"/>
              <w:rPr>
                <w:i/>
                <w:sz w:val="20"/>
                <w:szCs w:val="20"/>
              </w:rPr>
            </w:pPr>
            <w:r w:rsidRPr="007440C5">
              <w:rPr>
                <w:rFonts w:ascii="Calibri" w:eastAsia="Times New Roman" w:hAnsi="Calibri" w:cs="Times New Roman"/>
                <w:i/>
                <w:color w:val="000000"/>
                <w:sz w:val="20"/>
                <w:szCs w:val="20"/>
                <w:lang w:eastAsia="en-GB"/>
              </w:rPr>
              <w:t>1.3%</w:t>
            </w:r>
          </w:p>
        </w:tc>
      </w:tr>
      <w:tr w:rsidR="007440C5" w:rsidRPr="007440C5" w:rsidTr="00BB288F">
        <w:tc>
          <w:tcPr>
            <w:tcW w:w="4528" w:type="dxa"/>
          </w:tcPr>
          <w:p w:rsidR="007440C5" w:rsidRPr="007440C5" w:rsidRDefault="007440C5" w:rsidP="007440C5">
            <w:pPr>
              <w:spacing w:before="60" w:after="60"/>
              <w:rPr>
                <w:sz w:val="20"/>
                <w:szCs w:val="20"/>
              </w:rPr>
            </w:pPr>
            <w:r w:rsidRPr="007440C5">
              <w:rPr>
                <w:sz w:val="20"/>
                <w:szCs w:val="20"/>
              </w:rPr>
              <w:t>In other parts of the Leeds City Region</w:t>
            </w:r>
          </w:p>
        </w:tc>
        <w:tc>
          <w:tcPr>
            <w:tcW w:w="1087" w:type="dxa"/>
          </w:tcPr>
          <w:p w:rsidR="007440C5" w:rsidRPr="007440C5" w:rsidRDefault="007440C5" w:rsidP="007440C5">
            <w:pPr>
              <w:spacing w:before="60" w:after="60"/>
              <w:jc w:val="center"/>
              <w:rPr>
                <w:sz w:val="20"/>
                <w:szCs w:val="20"/>
              </w:rPr>
            </w:pPr>
            <w:r w:rsidRPr="007440C5">
              <w:rPr>
                <w:rFonts w:ascii="Calibri" w:eastAsia="Times New Roman" w:hAnsi="Calibri" w:cs="Times New Roman"/>
                <w:color w:val="000000"/>
                <w:sz w:val="20"/>
                <w:szCs w:val="20"/>
                <w:lang w:eastAsia="en-GB"/>
              </w:rPr>
              <w:t>111</w:t>
            </w:r>
          </w:p>
        </w:tc>
        <w:tc>
          <w:tcPr>
            <w:tcW w:w="1189" w:type="dxa"/>
          </w:tcPr>
          <w:p w:rsidR="007440C5" w:rsidRPr="007440C5" w:rsidRDefault="007440C5" w:rsidP="007440C5">
            <w:pPr>
              <w:spacing w:before="60" w:after="60"/>
              <w:jc w:val="center"/>
              <w:rPr>
                <w:sz w:val="20"/>
                <w:szCs w:val="20"/>
              </w:rPr>
            </w:pPr>
            <w:r w:rsidRPr="007440C5">
              <w:rPr>
                <w:sz w:val="20"/>
                <w:szCs w:val="20"/>
              </w:rPr>
              <w:t>1.2%</w:t>
            </w:r>
          </w:p>
        </w:tc>
      </w:tr>
      <w:tr w:rsidR="007440C5" w:rsidRPr="007440C5" w:rsidTr="00BB288F">
        <w:tc>
          <w:tcPr>
            <w:tcW w:w="4528" w:type="dxa"/>
          </w:tcPr>
          <w:p w:rsidR="007440C5" w:rsidRPr="007440C5" w:rsidRDefault="007440C5" w:rsidP="007440C5">
            <w:pPr>
              <w:spacing w:before="60" w:after="60"/>
              <w:rPr>
                <w:sz w:val="20"/>
                <w:szCs w:val="20"/>
              </w:rPr>
            </w:pPr>
            <w:r w:rsidRPr="007440C5">
              <w:rPr>
                <w:sz w:val="20"/>
                <w:szCs w:val="20"/>
              </w:rPr>
              <w:t>In other parts of the UK</w:t>
            </w:r>
          </w:p>
        </w:tc>
        <w:tc>
          <w:tcPr>
            <w:tcW w:w="1087" w:type="dxa"/>
          </w:tcPr>
          <w:p w:rsidR="007440C5" w:rsidRPr="007440C5" w:rsidRDefault="007440C5" w:rsidP="007440C5">
            <w:pPr>
              <w:spacing w:before="60" w:after="60"/>
              <w:jc w:val="center"/>
              <w:rPr>
                <w:sz w:val="20"/>
                <w:szCs w:val="20"/>
              </w:rPr>
            </w:pPr>
            <w:r w:rsidRPr="007440C5">
              <w:rPr>
                <w:rFonts w:ascii="Calibri" w:eastAsia="Times New Roman" w:hAnsi="Calibri" w:cs="Times New Roman"/>
                <w:color w:val="000000"/>
                <w:sz w:val="20"/>
                <w:szCs w:val="20"/>
                <w:lang w:eastAsia="en-GB"/>
              </w:rPr>
              <w:t>787</w:t>
            </w:r>
          </w:p>
        </w:tc>
        <w:tc>
          <w:tcPr>
            <w:tcW w:w="1189" w:type="dxa"/>
          </w:tcPr>
          <w:p w:rsidR="007440C5" w:rsidRPr="007440C5" w:rsidRDefault="007440C5" w:rsidP="007440C5">
            <w:pPr>
              <w:spacing w:before="60" w:after="60"/>
              <w:jc w:val="center"/>
              <w:rPr>
                <w:sz w:val="20"/>
                <w:szCs w:val="20"/>
              </w:rPr>
            </w:pPr>
            <w:r w:rsidRPr="007440C5">
              <w:rPr>
                <w:sz w:val="20"/>
                <w:szCs w:val="20"/>
              </w:rPr>
              <w:t>7.6%</w:t>
            </w:r>
          </w:p>
        </w:tc>
      </w:tr>
      <w:tr w:rsidR="007440C5" w:rsidRPr="007440C5" w:rsidTr="00BB288F">
        <w:tc>
          <w:tcPr>
            <w:tcW w:w="4528" w:type="dxa"/>
          </w:tcPr>
          <w:p w:rsidR="007440C5" w:rsidRPr="007440C5" w:rsidRDefault="007440C5" w:rsidP="007440C5">
            <w:pPr>
              <w:spacing w:before="60" w:after="60"/>
              <w:rPr>
                <w:sz w:val="20"/>
                <w:szCs w:val="20"/>
              </w:rPr>
            </w:pPr>
            <w:r w:rsidRPr="007440C5">
              <w:rPr>
                <w:sz w:val="20"/>
                <w:szCs w:val="20"/>
              </w:rPr>
              <w:t>Outside the UK</w:t>
            </w:r>
          </w:p>
        </w:tc>
        <w:tc>
          <w:tcPr>
            <w:tcW w:w="1087" w:type="dxa"/>
          </w:tcPr>
          <w:p w:rsidR="007440C5" w:rsidRPr="007440C5" w:rsidRDefault="007440C5" w:rsidP="007440C5">
            <w:pPr>
              <w:spacing w:before="60" w:after="60"/>
              <w:jc w:val="center"/>
              <w:rPr>
                <w:sz w:val="20"/>
                <w:szCs w:val="20"/>
              </w:rPr>
            </w:pPr>
            <w:r w:rsidRPr="007440C5">
              <w:rPr>
                <w:rFonts w:ascii="Calibri" w:eastAsia="Times New Roman" w:hAnsi="Calibri" w:cs="Times New Roman"/>
                <w:color w:val="000000"/>
                <w:sz w:val="20"/>
                <w:szCs w:val="20"/>
                <w:lang w:eastAsia="en-GB"/>
              </w:rPr>
              <w:t>75</w:t>
            </w:r>
          </w:p>
        </w:tc>
        <w:tc>
          <w:tcPr>
            <w:tcW w:w="1189" w:type="dxa"/>
          </w:tcPr>
          <w:p w:rsidR="007440C5" w:rsidRPr="007440C5" w:rsidRDefault="007440C5" w:rsidP="007440C5">
            <w:pPr>
              <w:spacing w:before="60" w:after="60"/>
              <w:jc w:val="center"/>
              <w:rPr>
                <w:sz w:val="20"/>
                <w:szCs w:val="20"/>
              </w:rPr>
            </w:pPr>
            <w:r w:rsidRPr="007440C5">
              <w:rPr>
                <w:rFonts w:ascii="Calibri" w:eastAsia="Times New Roman" w:hAnsi="Calibri" w:cs="Times New Roman"/>
                <w:color w:val="000000"/>
                <w:sz w:val="20"/>
                <w:szCs w:val="20"/>
                <w:lang w:eastAsia="en-GB"/>
              </w:rPr>
              <w:t>0.7%</w:t>
            </w:r>
          </w:p>
        </w:tc>
      </w:tr>
    </w:tbl>
    <w:p w:rsidR="007440C5" w:rsidRPr="007440C5" w:rsidRDefault="007440C5" w:rsidP="007440C5">
      <w:pPr>
        <w:ind w:firstLine="720"/>
        <w:rPr>
          <w:sz w:val="18"/>
        </w:rPr>
      </w:pPr>
      <w:r w:rsidRPr="007440C5">
        <w:rPr>
          <w:sz w:val="18"/>
        </w:rPr>
        <w:t>(</w:t>
      </w:r>
      <w:r w:rsidRPr="007440C5">
        <w:rPr>
          <w:i/>
          <w:sz w:val="18"/>
        </w:rPr>
        <w:t>Source</w:t>
      </w:r>
      <w:r w:rsidR="00AF22A6">
        <w:rPr>
          <w:i/>
          <w:sz w:val="18"/>
        </w:rPr>
        <w:t>:</w:t>
      </w:r>
      <w:r w:rsidRPr="007440C5">
        <w:rPr>
          <w:i/>
          <w:sz w:val="18"/>
        </w:rPr>
        <w:t xml:space="preserve"> University of Bradford 2014</w:t>
      </w:r>
      <w:r w:rsidRPr="007440C5">
        <w:rPr>
          <w:sz w:val="18"/>
        </w:rPr>
        <w:t>)</w:t>
      </w:r>
    </w:p>
    <w:p w:rsidR="007440C5" w:rsidRPr="007440C5" w:rsidRDefault="007440C5" w:rsidP="007440C5">
      <w:pPr>
        <w:ind w:left="720"/>
      </w:pPr>
      <w:r w:rsidRPr="007440C5">
        <w:t xml:space="preserve">Table 26 above shows that a significant minority of students at the University live outside Bradford (30 per cent), and </w:t>
      </w:r>
      <w:proofErr w:type="gramStart"/>
      <w:r w:rsidRPr="007440C5">
        <w:t xml:space="preserve">a large proportion (21.6 per cent) </w:t>
      </w:r>
      <w:r w:rsidR="00D0456D">
        <w:t>are</w:t>
      </w:r>
      <w:proofErr w:type="gramEnd"/>
      <w:r w:rsidRPr="007440C5">
        <w:t xml:space="preserve"> living at an address in West Yorkshire, or in other parts of the Leeds City Region. </w:t>
      </w:r>
    </w:p>
    <w:p w:rsidR="007440C5" w:rsidRPr="007440C5" w:rsidRDefault="007440C5" w:rsidP="007440C5">
      <w:pPr>
        <w:ind w:left="720"/>
      </w:pPr>
      <w:proofErr w:type="gramStart"/>
      <w:r w:rsidRPr="007440C5">
        <w:t>This points</w:t>
      </w:r>
      <w:proofErr w:type="gramEnd"/>
      <w:r w:rsidRPr="007440C5">
        <w:t xml:space="preserve"> to West Yorkshire being a significant source of demand for places at the University. Between 2009 and 2014, the number of students living in the Bradford district reduced by 73 and the number living outside Bradford reduced by 246 (mostly those studying in Bradford but living outside the UK, slightly offset by an increase of 31 in the number living in West Yorkshire or other parts of the Leeds City Region</w:t>
      </w:r>
      <w:r w:rsidR="00AF22A6">
        <w:t>).</w:t>
      </w:r>
    </w:p>
    <w:p w:rsidR="007440C5" w:rsidRPr="007440C5" w:rsidRDefault="007440C5" w:rsidP="007440C5">
      <w:pPr>
        <w:rPr>
          <w:b/>
        </w:rPr>
      </w:pPr>
      <w:r w:rsidRPr="00D0456D">
        <w:t>4.1.2</w:t>
      </w:r>
      <w:r w:rsidRPr="007440C5">
        <w:rPr>
          <w:b/>
        </w:rPr>
        <w:tab/>
      </w:r>
      <w:r w:rsidRPr="00D0456D">
        <w:rPr>
          <w:i/>
        </w:rPr>
        <w:t>Locations of student residence within Bradford</w:t>
      </w:r>
    </w:p>
    <w:p w:rsidR="007440C5" w:rsidRPr="007440C5" w:rsidRDefault="007440C5" w:rsidP="007440C5">
      <w:pPr>
        <w:ind w:left="720"/>
      </w:pPr>
      <w:r w:rsidRPr="007440C5">
        <w:t xml:space="preserve">Analysis above shows that 30 per cent of students at the University live outside of Bradford and 70 per cent of students live within the boundaries of Bradford district. </w:t>
      </w:r>
    </w:p>
    <w:p w:rsidR="00AF22A6" w:rsidRDefault="00AF22A6" w:rsidP="007440C5">
      <w:pPr>
        <w:ind w:left="720"/>
        <w:rPr>
          <w:i/>
        </w:rPr>
      </w:pPr>
    </w:p>
    <w:p w:rsidR="00D0456D" w:rsidRDefault="00D0456D" w:rsidP="007440C5">
      <w:pPr>
        <w:ind w:left="720"/>
        <w:rPr>
          <w:i/>
        </w:rPr>
      </w:pPr>
    </w:p>
    <w:p w:rsidR="007440C5" w:rsidRPr="007440C5" w:rsidRDefault="007440C5" w:rsidP="00D0456D">
      <w:pPr>
        <w:tabs>
          <w:tab w:val="left" w:pos="1701"/>
        </w:tabs>
        <w:ind w:left="720"/>
        <w:rPr>
          <w:i/>
        </w:rPr>
      </w:pPr>
      <w:r w:rsidRPr="007440C5">
        <w:rPr>
          <w:i/>
        </w:rPr>
        <w:lastRenderedPageBreak/>
        <w:t>Table 27:</w:t>
      </w:r>
      <w:r w:rsidR="00D0456D">
        <w:rPr>
          <w:i/>
        </w:rPr>
        <w:tab/>
      </w:r>
      <w:r w:rsidRPr="007440C5">
        <w:rPr>
          <w:i/>
        </w:rPr>
        <w:t xml:space="preserve"> Neighbourhoods within the Bradford district with the highest number of students </w:t>
      </w:r>
    </w:p>
    <w:tbl>
      <w:tblPr>
        <w:tblW w:w="8382" w:type="dxa"/>
        <w:tblInd w:w="798" w:type="dxa"/>
        <w:tblLook w:val="04A0" w:firstRow="1" w:lastRow="0" w:firstColumn="1" w:lastColumn="0" w:noHBand="0" w:noVBand="1"/>
      </w:tblPr>
      <w:tblGrid>
        <w:gridCol w:w="2712"/>
        <w:gridCol w:w="2977"/>
        <w:gridCol w:w="1559"/>
        <w:gridCol w:w="1134"/>
      </w:tblGrid>
      <w:tr w:rsidR="007440C5" w:rsidRPr="007440C5" w:rsidTr="00BB288F">
        <w:trPr>
          <w:trHeight w:val="315"/>
        </w:trPr>
        <w:tc>
          <w:tcPr>
            <w:tcW w:w="27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Neighbourhood</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Ward</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D0456D" w:rsidP="007440C5">
            <w:pPr>
              <w:spacing w:after="0" w:line="240" w:lineRule="auto"/>
              <w:rPr>
                <w:rFonts w:ascii="Calibri" w:eastAsia="Times New Roman" w:hAnsi="Calibri" w:cs="Times New Roman"/>
                <w:color w:val="000000"/>
                <w:sz w:val="20"/>
                <w:lang w:eastAsia="en-GB"/>
              </w:rPr>
            </w:pPr>
            <w:r>
              <w:rPr>
                <w:rFonts w:ascii="Calibri" w:eastAsia="Times New Roman" w:hAnsi="Calibri" w:cs="Times New Roman"/>
                <w:color w:val="000000"/>
                <w:sz w:val="20"/>
                <w:lang w:eastAsia="en-GB"/>
              </w:rPr>
              <w:t>University c</w:t>
            </w:r>
            <w:r w:rsidR="007440C5" w:rsidRPr="007440C5">
              <w:rPr>
                <w:rFonts w:ascii="Calibri" w:eastAsia="Times New Roman" w:hAnsi="Calibri" w:cs="Times New Roman"/>
                <w:color w:val="000000"/>
                <w:sz w:val="20"/>
                <w:lang w:eastAsia="en-GB"/>
              </w:rPr>
              <w:t>ampus</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1,900</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26.1%</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Shearbridge</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1,209</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16.6%</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 Centre/Little Germany</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1,119</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15.4%</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Heaton</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Heaton</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307</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4.2%</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Lidgett Green</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303</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4.2%</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Barkerend</w:t>
            </w:r>
            <w:proofErr w:type="spellEnd"/>
            <w:r w:rsidRPr="007440C5">
              <w:rPr>
                <w:rFonts w:ascii="Calibri" w:eastAsia="Times New Roman" w:hAnsi="Calibri" w:cs="Times New Roman"/>
                <w:color w:val="000000"/>
                <w:sz w:val="20"/>
                <w:lang w:eastAsia="en-GB"/>
              </w:rPr>
              <w:t>/</w:t>
            </w:r>
            <w:proofErr w:type="spellStart"/>
            <w:r w:rsidRPr="007440C5">
              <w:rPr>
                <w:rFonts w:ascii="Calibri" w:eastAsia="Times New Roman" w:hAnsi="Calibri" w:cs="Times New Roman"/>
                <w:color w:val="000000"/>
                <w:sz w:val="20"/>
                <w:lang w:eastAsia="en-GB"/>
              </w:rPr>
              <w:t>Laisterdyke</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Bowling and </w:t>
            </w:r>
            <w:proofErr w:type="spellStart"/>
            <w:r w:rsidRPr="007440C5">
              <w:rPr>
                <w:rFonts w:ascii="Calibri" w:eastAsia="Times New Roman" w:hAnsi="Calibri" w:cs="Times New Roman"/>
                <w:color w:val="000000"/>
                <w:sz w:val="20"/>
                <w:lang w:eastAsia="en-GB"/>
              </w:rPr>
              <w:t>Barkerend</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249</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3.4%</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Manningham</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Manningham</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235</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3.2%</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Keighley </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Keighley Central</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209</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2.9%</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West Bowling</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Little Horton</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118</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Frizinghall</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Heaton</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118</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Great Horton</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Great Horton</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117</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Girlington</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Toller</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117</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Undercliffe</w:t>
            </w:r>
            <w:proofErr w:type="spellEnd"/>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Bolton and </w:t>
            </w:r>
            <w:proofErr w:type="spellStart"/>
            <w:r w:rsidRPr="007440C5">
              <w:rPr>
                <w:rFonts w:ascii="Calibri" w:eastAsia="Times New Roman" w:hAnsi="Calibri" w:cs="Times New Roman"/>
                <w:color w:val="000000"/>
                <w:sz w:val="20"/>
                <w:lang w:eastAsia="en-GB"/>
              </w:rPr>
              <w:t>Undercliffe</w:t>
            </w:r>
            <w:proofErr w:type="spellEnd"/>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112</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w:t>
            </w:r>
          </w:p>
        </w:tc>
      </w:tr>
      <w:tr w:rsidR="007440C5" w:rsidRPr="007440C5" w:rsidTr="00BB288F">
        <w:trPr>
          <w:trHeight w:val="315"/>
        </w:trPr>
        <w:tc>
          <w:tcPr>
            <w:tcW w:w="2712"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Shipley</w:t>
            </w:r>
          </w:p>
        </w:tc>
        <w:tc>
          <w:tcPr>
            <w:tcW w:w="2977" w:type="dxa"/>
            <w:tcBorders>
              <w:top w:val="single" w:sz="8" w:space="0" w:color="auto"/>
              <w:left w:val="nil"/>
              <w:bottom w:val="single" w:sz="8" w:space="0" w:color="auto"/>
              <w:right w:val="single" w:sz="8" w:space="0" w:color="auto"/>
            </w:tcBorders>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Shipley</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102</w:t>
            </w:r>
          </w:p>
        </w:tc>
        <w:tc>
          <w:tcPr>
            <w:tcW w:w="1134" w:type="dxa"/>
            <w:tcBorders>
              <w:top w:val="nil"/>
              <w:left w:val="nil"/>
              <w:bottom w:val="single" w:sz="8" w:space="0" w:color="auto"/>
              <w:right w:val="single" w:sz="8" w:space="0" w:color="auto"/>
            </w:tcBorders>
            <w:shd w:val="clear" w:color="auto" w:fill="auto"/>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1.4%</w:t>
            </w:r>
          </w:p>
        </w:tc>
      </w:tr>
    </w:tbl>
    <w:p w:rsidR="007440C5" w:rsidRPr="007440C5" w:rsidRDefault="00AF22A6" w:rsidP="007440C5">
      <w:pPr>
        <w:ind w:firstLine="720"/>
        <w:rPr>
          <w:sz w:val="18"/>
        </w:rPr>
      </w:pPr>
      <w:r>
        <w:rPr>
          <w:sz w:val="18"/>
        </w:rPr>
        <w:t>(</w:t>
      </w:r>
      <w:r w:rsidR="007440C5" w:rsidRPr="007440C5">
        <w:rPr>
          <w:i/>
          <w:sz w:val="18"/>
        </w:rPr>
        <w:t>Source University of Bradford 2014</w:t>
      </w:r>
      <w:r w:rsidR="007440C5" w:rsidRPr="007440C5">
        <w:rPr>
          <w:sz w:val="18"/>
        </w:rPr>
        <w:t>)</w:t>
      </w:r>
    </w:p>
    <w:p w:rsidR="007440C5" w:rsidRPr="007440C5" w:rsidRDefault="007440C5" w:rsidP="007440C5">
      <w:pPr>
        <w:ind w:left="720"/>
      </w:pPr>
      <w:r w:rsidRPr="007440C5">
        <w:t xml:space="preserve">Table 27 above shows neighbourhoods with more than 100 </w:t>
      </w:r>
      <w:proofErr w:type="gramStart"/>
      <w:r w:rsidRPr="007440C5">
        <w:t>students</w:t>
      </w:r>
      <w:proofErr w:type="gramEnd"/>
      <w:r w:rsidRPr="007440C5">
        <w:t xml:space="preserve"> resident and the ward in which they are located. It shows that over 4,100 students (57 per cent of all students living in Bradford) liv</w:t>
      </w:r>
      <w:r w:rsidR="00AF22A6">
        <w:t>e on the campus itself, in the city c</w:t>
      </w:r>
      <w:r w:rsidRPr="007440C5">
        <w:t xml:space="preserve">entre or in </w:t>
      </w:r>
      <w:proofErr w:type="spellStart"/>
      <w:proofErr w:type="gramStart"/>
      <w:r w:rsidRPr="007440C5">
        <w:t>Shearbridge</w:t>
      </w:r>
      <w:proofErr w:type="spellEnd"/>
      <w:r w:rsidRPr="007440C5">
        <w:t xml:space="preserve">  –</w:t>
      </w:r>
      <w:proofErr w:type="gramEnd"/>
      <w:r w:rsidRPr="007440C5">
        <w:t xml:space="preserve"> all of which are in City Ward.  Areas with over 200 students in residence include Heaton, </w:t>
      </w:r>
      <w:proofErr w:type="spellStart"/>
      <w:r w:rsidRPr="007440C5">
        <w:t>Lidgett</w:t>
      </w:r>
      <w:proofErr w:type="spellEnd"/>
      <w:r w:rsidRPr="007440C5">
        <w:t xml:space="preserve"> Green, the </w:t>
      </w:r>
      <w:proofErr w:type="spellStart"/>
      <w:r w:rsidRPr="007440C5">
        <w:t>Laisterdyke</w:t>
      </w:r>
      <w:proofErr w:type="spellEnd"/>
      <w:r w:rsidRPr="007440C5">
        <w:t>/</w:t>
      </w:r>
      <w:proofErr w:type="spellStart"/>
      <w:r w:rsidRPr="007440C5">
        <w:t>Barkerend</w:t>
      </w:r>
      <w:proofErr w:type="spellEnd"/>
      <w:r w:rsidRPr="007440C5">
        <w:t xml:space="preserve"> area, </w:t>
      </w:r>
      <w:proofErr w:type="spellStart"/>
      <w:r w:rsidRPr="007440C5">
        <w:t>Manningham</w:t>
      </w:r>
      <w:proofErr w:type="spellEnd"/>
      <w:r w:rsidRPr="007440C5">
        <w:t xml:space="preserve"> and central Keighley.</w:t>
      </w:r>
    </w:p>
    <w:p w:rsidR="007440C5" w:rsidRPr="00D0456D" w:rsidRDefault="007440C5" w:rsidP="007440C5">
      <w:r w:rsidRPr="00D0456D">
        <w:t>4.1.3</w:t>
      </w:r>
      <w:r w:rsidRPr="00D0456D">
        <w:tab/>
      </w:r>
      <w:r w:rsidRPr="00D0456D">
        <w:rPr>
          <w:i/>
        </w:rPr>
        <w:t>Types of accommodation</w:t>
      </w:r>
    </w:p>
    <w:p w:rsidR="007440C5" w:rsidRPr="007440C5" w:rsidRDefault="007440C5" w:rsidP="007440C5">
      <w:pPr>
        <w:ind w:left="720"/>
      </w:pPr>
      <w:r w:rsidRPr="007440C5">
        <w:t xml:space="preserve">Table 28a shows that the 7,271 students living and studying in Bradford are spread across different living situations.  </w:t>
      </w:r>
    </w:p>
    <w:p w:rsidR="007440C5" w:rsidRPr="007440C5" w:rsidRDefault="007440C5" w:rsidP="00D0456D">
      <w:pPr>
        <w:tabs>
          <w:tab w:val="left" w:pos="1701"/>
        </w:tabs>
        <w:ind w:firstLine="720"/>
        <w:rPr>
          <w:i/>
        </w:rPr>
      </w:pPr>
      <w:r w:rsidRPr="007440C5">
        <w:rPr>
          <w:i/>
        </w:rPr>
        <w:t>Table 28a: Type of accommodation of students living and studying in Bradford</w:t>
      </w:r>
    </w:p>
    <w:tbl>
      <w:tblPr>
        <w:tblStyle w:val="TableGrid"/>
        <w:tblW w:w="0" w:type="auto"/>
        <w:tblInd w:w="916" w:type="dxa"/>
        <w:tblLook w:val="04A0" w:firstRow="1" w:lastRow="0" w:firstColumn="1" w:lastColumn="0" w:noHBand="0" w:noVBand="1"/>
      </w:tblPr>
      <w:tblGrid>
        <w:gridCol w:w="5103"/>
        <w:gridCol w:w="1418"/>
        <w:gridCol w:w="1417"/>
      </w:tblGrid>
      <w:tr w:rsidR="007440C5" w:rsidRPr="007440C5" w:rsidTr="00BB288F">
        <w:tc>
          <w:tcPr>
            <w:tcW w:w="5103" w:type="dxa"/>
          </w:tcPr>
          <w:p w:rsidR="007440C5" w:rsidRPr="007440C5" w:rsidRDefault="007440C5" w:rsidP="007440C5">
            <w:pPr>
              <w:spacing w:line="312" w:lineRule="auto"/>
              <w:rPr>
                <w:b/>
                <w:sz w:val="20"/>
              </w:rPr>
            </w:pPr>
            <w:r w:rsidRPr="007440C5">
              <w:rPr>
                <w:b/>
                <w:sz w:val="20"/>
              </w:rPr>
              <w:t>Residential location while studying</w:t>
            </w:r>
          </w:p>
        </w:tc>
        <w:tc>
          <w:tcPr>
            <w:tcW w:w="1418" w:type="dxa"/>
          </w:tcPr>
          <w:p w:rsidR="007440C5" w:rsidRPr="007440C5" w:rsidRDefault="007440C5" w:rsidP="007440C5">
            <w:pPr>
              <w:spacing w:line="312" w:lineRule="auto"/>
              <w:jc w:val="center"/>
              <w:rPr>
                <w:b/>
                <w:sz w:val="20"/>
              </w:rPr>
            </w:pPr>
            <w:r w:rsidRPr="007440C5">
              <w:rPr>
                <w:b/>
                <w:sz w:val="20"/>
              </w:rPr>
              <w:t>No</w:t>
            </w:r>
          </w:p>
        </w:tc>
        <w:tc>
          <w:tcPr>
            <w:tcW w:w="1417" w:type="dxa"/>
          </w:tcPr>
          <w:p w:rsidR="007440C5" w:rsidRPr="007440C5" w:rsidRDefault="007440C5" w:rsidP="007440C5">
            <w:pPr>
              <w:spacing w:line="312" w:lineRule="auto"/>
              <w:jc w:val="center"/>
              <w:rPr>
                <w:b/>
                <w:sz w:val="20"/>
              </w:rPr>
            </w:pPr>
            <w:r w:rsidRPr="007440C5">
              <w:rPr>
                <w:b/>
                <w:sz w:val="20"/>
              </w:rPr>
              <w:t>%</w:t>
            </w:r>
          </w:p>
        </w:tc>
      </w:tr>
      <w:tr w:rsidR="007440C5" w:rsidRPr="007440C5" w:rsidTr="00BB288F">
        <w:tc>
          <w:tcPr>
            <w:tcW w:w="5103" w:type="dxa"/>
          </w:tcPr>
          <w:p w:rsidR="007440C5" w:rsidRPr="007440C5" w:rsidRDefault="007440C5" w:rsidP="007440C5">
            <w:pPr>
              <w:spacing w:line="312" w:lineRule="auto"/>
              <w:rPr>
                <w:sz w:val="20"/>
              </w:rPr>
            </w:pPr>
            <w:r w:rsidRPr="007440C5">
              <w:rPr>
                <w:sz w:val="20"/>
              </w:rPr>
              <w:t>Living independently in their own homes</w:t>
            </w:r>
          </w:p>
        </w:tc>
        <w:tc>
          <w:tcPr>
            <w:tcW w:w="1418" w:type="dxa"/>
          </w:tcPr>
          <w:p w:rsidR="007440C5" w:rsidRPr="007440C5" w:rsidRDefault="007440C5" w:rsidP="007440C5">
            <w:pPr>
              <w:spacing w:line="312" w:lineRule="auto"/>
              <w:jc w:val="center"/>
              <w:rPr>
                <w:sz w:val="20"/>
              </w:rPr>
            </w:pPr>
            <w:r w:rsidRPr="007440C5">
              <w:rPr>
                <w:sz w:val="20"/>
              </w:rPr>
              <w:t>922</w:t>
            </w:r>
          </w:p>
        </w:tc>
        <w:tc>
          <w:tcPr>
            <w:tcW w:w="1417" w:type="dxa"/>
          </w:tcPr>
          <w:p w:rsidR="007440C5" w:rsidRPr="007440C5" w:rsidRDefault="007440C5" w:rsidP="007440C5">
            <w:pPr>
              <w:spacing w:line="312" w:lineRule="auto"/>
              <w:jc w:val="center"/>
              <w:rPr>
                <w:sz w:val="20"/>
              </w:rPr>
            </w:pPr>
            <w:r w:rsidRPr="007440C5">
              <w:rPr>
                <w:sz w:val="20"/>
              </w:rPr>
              <w:t>8.9%</w:t>
            </w:r>
          </w:p>
        </w:tc>
      </w:tr>
      <w:tr w:rsidR="007440C5" w:rsidRPr="007440C5" w:rsidTr="00BB288F">
        <w:tc>
          <w:tcPr>
            <w:tcW w:w="5103" w:type="dxa"/>
          </w:tcPr>
          <w:p w:rsidR="007440C5" w:rsidRPr="007440C5" w:rsidRDefault="007440C5" w:rsidP="00B26FEF">
            <w:pPr>
              <w:spacing w:line="312" w:lineRule="auto"/>
              <w:rPr>
                <w:sz w:val="20"/>
              </w:rPr>
            </w:pPr>
            <w:r w:rsidRPr="007440C5">
              <w:rPr>
                <w:sz w:val="20"/>
              </w:rPr>
              <w:t>Living in their parent</w:t>
            </w:r>
            <w:r w:rsidR="00B26FEF">
              <w:rPr>
                <w:sz w:val="20"/>
              </w:rPr>
              <w:t>s’</w:t>
            </w:r>
            <w:r w:rsidRPr="007440C5">
              <w:rPr>
                <w:sz w:val="20"/>
              </w:rPr>
              <w:t xml:space="preserve"> home</w:t>
            </w:r>
          </w:p>
        </w:tc>
        <w:tc>
          <w:tcPr>
            <w:tcW w:w="1418" w:type="dxa"/>
          </w:tcPr>
          <w:p w:rsidR="007440C5" w:rsidRPr="007440C5" w:rsidRDefault="007440C5" w:rsidP="007440C5">
            <w:pPr>
              <w:spacing w:line="312" w:lineRule="auto"/>
              <w:jc w:val="center"/>
              <w:rPr>
                <w:sz w:val="20"/>
              </w:rPr>
            </w:pPr>
            <w:r w:rsidRPr="007440C5">
              <w:rPr>
                <w:sz w:val="20"/>
              </w:rPr>
              <w:t>2,229</w:t>
            </w:r>
          </w:p>
        </w:tc>
        <w:tc>
          <w:tcPr>
            <w:tcW w:w="1417" w:type="dxa"/>
          </w:tcPr>
          <w:p w:rsidR="007440C5" w:rsidRPr="007440C5" w:rsidRDefault="007440C5" w:rsidP="007440C5">
            <w:pPr>
              <w:spacing w:line="312" w:lineRule="auto"/>
              <w:jc w:val="center"/>
              <w:rPr>
                <w:sz w:val="20"/>
              </w:rPr>
            </w:pPr>
            <w:r w:rsidRPr="007440C5">
              <w:rPr>
                <w:sz w:val="20"/>
              </w:rPr>
              <w:t>21.5%</w:t>
            </w:r>
          </w:p>
        </w:tc>
      </w:tr>
      <w:tr w:rsidR="007440C5" w:rsidRPr="007440C5" w:rsidTr="00BB288F">
        <w:tc>
          <w:tcPr>
            <w:tcW w:w="5103" w:type="dxa"/>
          </w:tcPr>
          <w:p w:rsidR="007440C5" w:rsidRPr="007440C5" w:rsidRDefault="00D0456D" w:rsidP="00D0456D">
            <w:pPr>
              <w:spacing w:line="312" w:lineRule="auto"/>
              <w:rPr>
                <w:sz w:val="20"/>
              </w:rPr>
            </w:pPr>
            <w:r>
              <w:rPr>
                <w:sz w:val="20"/>
              </w:rPr>
              <w:t>Living in p</w:t>
            </w:r>
            <w:r w:rsidR="007440C5" w:rsidRPr="007440C5">
              <w:rPr>
                <w:sz w:val="20"/>
              </w:rPr>
              <w:t>urpose</w:t>
            </w:r>
            <w:r>
              <w:rPr>
                <w:sz w:val="20"/>
              </w:rPr>
              <w:t>-built student a</w:t>
            </w:r>
            <w:r w:rsidR="007440C5" w:rsidRPr="007440C5">
              <w:rPr>
                <w:sz w:val="20"/>
              </w:rPr>
              <w:t>ccommodation</w:t>
            </w:r>
          </w:p>
        </w:tc>
        <w:tc>
          <w:tcPr>
            <w:tcW w:w="1418" w:type="dxa"/>
          </w:tcPr>
          <w:p w:rsidR="007440C5" w:rsidRPr="007440C5" w:rsidRDefault="007440C5" w:rsidP="007440C5">
            <w:pPr>
              <w:spacing w:line="312" w:lineRule="auto"/>
              <w:jc w:val="center"/>
              <w:rPr>
                <w:sz w:val="20"/>
              </w:rPr>
            </w:pPr>
            <w:r w:rsidRPr="007440C5">
              <w:rPr>
                <w:sz w:val="20"/>
              </w:rPr>
              <w:t>2,690</w:t>
            </w:r>
          </w:p>
        </w:tc>
        <w:tc>
          <w:tcPr>
            <w:tcW w:w="1417" w:type="dxa"/>
          </w:tcPr>
          <w:p w:rsidR="007440C5" w:rsidRPr="007440C5" w:rsidRDefault="007440C5" w:rsidP="007440C5">
            <w:pPr>
              <w:spacing w:line="312" w:lineRule="auto"/>
              <w:jc w:val="center"/>
              <w:rPr>
                <w:sz w:val="20"/>
              </w:rPr>
            </w:pPr>
            <w:r w:rsidRPr="007440C5">
              <w:rPr>
                <w:sz w:val="20"/>
              </w:rPr>
              <w:t>25.9%</w:t>
            </w:r>
          </w:p>
        </w:tc>
      </w:tr>
      <w:tr w:rsidR="007440C5" w:rsidRPr="007440C5" w:rsidTr="00BB288F">
        <w:tc>
          <w:tcPr>
            <w:tcW w:w="5103" w:type="dxa"/>
          </w:tcPr>
          <w:p w:rsidR="007440C5" w:rsidRPr="007440C5" w:rsidRDefault="007440C5" w:rsidP="007440C5">
            <w:pPr>
              <w:spacing w:line="312" w:lineRule="auto"/>
              <w:rPr>
                <w:sz w:val="20"/>
              </w:rPr>
            </w:pPr>
            <w:r w:rsidRPr="007440C5">
              <w:rPr>
                <w:sz w:val="20"/>
              </w:rPr>
              <w:t>Living in private rented off-street shared housing</w:t>
            </w:r>
          </w:p>
        </w:tc>
        <w:tc>
          <w:tcPr>
            <w:tcW w:w="1418" w:type="dxa"/>
          </w:tcPr>
          <w:p w:rsidR="007440C5" w:rsidRPr="007440C5" w:rsidRDefault="007440C5" w:rsidP="007440C5">
            <w:pPr>
              <w:spacing w:line="312" w:lineRule="auto"/>
              <w:jc w:val="center"/>
              <w:rPr>
                <w:sz w:val="20"/>
              </w:rPr>
            </w:pPr>
            <w:r w:rsidRPr="007440C5">
              <w:rPr>
                <w:sz w:val="20"/>
              </w:rPr>
              <w:t>1,127</w:t>
            </w:r>
          </w:p>
        </w:tc>
        <w:tc>
          <w:tcPr>
            <w:tcW w:w="1417" w:type="dxa"/>
          </w:tcPr>
          <w:p w:rsidR="007440C5" w:rsidRPr="007440C5" w:rsidRDefault="007440C5" w:rsidP="007440C5">
            <w:pPr>
              <w:spacing w:line="312" w:lineRule="auto"/>
              <w:jc w:val="center"/>
              <w:rPr>
                <w:sz w:val="20"/>
              </w:rPr>
            </w:pPr>
            <w:r w:rsidRPr="007440C5">
              <w:rPr>
                <w:sz w:val="20"/>
              </w:rPr>
              <w:t>10.9%</w:t>
            </w:r>
          </w:p>
        </w:tc>
      </w:tr>
      <w:tr w:rsidR="007440C5" w:rsidRPr="007440C5" w:rsidTr="00BB288F">
        <w:tc>
          <w:tcPr>
            <w:tcW w:w="5103" w:type="dxa"/>
          </w:tcPr>
          <w:p w:rsidR="007440C5" w:rsidRPr="007440C5" w:rsidRDefault="007440C5" w:rsidP="007440C5">
            <w:pPr>
              <w:spacing w:line="312" w:lineRule="auto"/>
              <w:rPr>
                <w:sz w:val="20"/>
              </w:rPr>
            </w:pPr>
            <w:r w:rsidRPr="007440C5">
              <w:rPr>
                <w:sz w:val="20"/>
              </w:rPr>
              <w:t>Living in private rented city centre apartments</w:t>
            </w:r>
          </w:p>
        </w:tc>
        <w:tc>
          <w:tcPr>
            <w:tcW w:w="1418" w:type="dxa"/>
          </w:tcPr>
          <w:p w:rsidR="007440C5" w:rsidRPr="007440C5" w:rsidRDefault="007440C5" w:rsidP="007440C5">
            <w:pPr>
              <w:spacing w:line="312" w:lineRule="auto"/>
              <w:jc w:val="center"/>
              <w:rPr>
                <w:sz w:val="20"/>
              </w:rPr>
            </w:pPr>
            <w:r w:rsidRPr="007440C5">
              <w:rPr>
                <w:sz w:val="20"/>
              </w:rPr>
              <w:t>286</w:t>
            </w:r>
          </w:p>
        </w:tc>
        <w:tc>
          <w:tcPr>
            <w:tcW w:w="1417" w:type="dxa"/>
          </w:tcPr>
          <w:p w:rsidR="007440C5" w:rsidRPr="007440C5" w:rsidRDefault="007440C5" w:rsidP="007440C5">
            <w:pPr>
              <w:spacing w:line="312" w:lineRule="auto"/>
              <w:jc w:val="center"/>
              <w:rPr>
                <w:sz w:val="20"/>
              </w:rPr>
            </w:pPr>
            <w:r w:rsidRPr="007440C5">
              <w:rPr>
                <w:sz w:val="20"/>
              </w:rPr>
              <w:t>2.8%</w:t>
            </w:r>
          </w:p>
        </w:tc>
      </w:tr>
      <w:tr w:rsidR="007440C5" w:rsidRPr="007440C5" w:rsidTr="00BB288F">
        <w:tc>
          <w:tcPr>
            <w:tcW w:w="5103" w:type="dxa"/>
          </w:tcPr>
          <w:p w:rsidR="007440C5" w:rsidRPr="007440C5" w:rsidRDefault="007440C5" w:rsidP="007440C5">
            <w:pPr>
              <w:spacing w:line="312" w:lineRule="auto"/>
              <w:rPr>
                <w:sz w:val="20"/>
              </w:rPr>
            </w:pPr>
            <w:r w:rsidRPr="007440C5">
              <w:rPr>
                <w:sz w:val="20"/>
              </w:rPr>
              <w:t>Living outside of Bradford</w:t>
            </w:r>
          </w:p>
        </w:tc>
        <w:tc>
          <w:tcPr>
            <w:tcW w:w="1418" w:type="dxa"/>
          </w:tcPr>
          <w:p w:rsidR="007440C5" w:rsidRPr="007440C5" w:rsidRDefault="007440C5" w:rsidP="007440C5">
            <w:pPr>
              <w:spacing w:line="312" w:lineRule="auto"/>
              <w:jc w:val="center"/>
              <w:rPr>
                <w:sz w:val="20"/>
              </w:rPr>
            </w:pPr>
            <w:r w:rsidRPr="007440C5">
              <w:rPr>
                <w:sz w:val="20"/>
              </w:rPr>
              <w:t>3,104</w:t>
            </w:r>
          </w:p>
        </w:tc>
        <w:tc>
          <w:tcPr>
            <w:tcW w:w="1417" w:type="dxa"/>
          </w:tcPr>
          <w:p w:rsidR="007440C5" w:rsidRPr="007440C5" w:rsidRDefault="007440C5" w:rsidP="007440C5">
            <w:pPr>
              <w:spacing w:line="312" w:lineRule="auto"/>
              <w:jc w:val="center"/>
              <w:rPr>
                <w:sz w:val="20"/>
              </w:rPr>
            </w:pPr>
            <w:r w:rsidRPr="007440C5">
              <w:rPr>
                <w:sz w:val="20"/>
              </w:rPr>
              <w:t>29.9%</w:t>
            </w:r>
          </w:p>
        </w:tc>
      </w:tr>
    </w:tbl>
    <w:p w:rsidR="007440C5" w:rsidRPr="007440C5" w:rsidRDefault="007440C5" w:rsidP="007440C5">
      <w:pPr>
        <w:ind w:firstLine="720"/>
        <w:rPr>
          <w:i/>
          <w:sz w:val="18"/>
        </w:rPr>
      </w:pPr>
      <w:r w:rsidRPr="007440C5">
        <w:rPr>
          <w:i/>
          <w:sz w:val="18"/>
        </w:rPr>
        <w:t>(Source University of Bradford 2014)</w:t>
      </w:r>
    </w:p>
    <w:p w:rsidR="007440C5" w:rsidRPr="007440C5" w:rsidRDefault="007440C5" w:rsidP="007440C5">
      <w:pPr>
        <w:ind w:left="720"/>
      </w:pPr>
      <w:r w:rsidRPr="007440C5">
        <w:t xml:space="preserve">Thirty per cent of students live outside Bradford </w:t>
      </w:r>
      <w:r w:rsidR="005848FE">
        <w:t xml:space="preserve">and attend from home: </w:t>
      </w:r>
      <w:r w:rsidRPr="007440C5">
        <w:t>just over a fifth of students live in their parent</w:t>
      </w:r>
      <w:r w:rsidR="00B26FEF">
        <w:t>s’</w:t>
      </w:r>
      <w:r w:rsidRPr="007440C5">
        <w:t xml:space="preserve"> home and </w:t>
      </w:r>
      <w:r w:rsidR="005848FE">
        <w:t>nine</w:t>
      </w:r>
      <w:r w:rsidRPr="007440C5">
        <w:t xml:space="preserve"> per cent live independently in their own home in Bradford.  Twenty-six per cent live in purpose-buil</w:t>
      </w:r>
      <w:r w:rsidR="005848FE">
        <w:t>t</w:t>
      </w:r>
      <w:r w:rsidRPr="007440C5">
        <w:t xml:space="preserve"> accommodation, either University halls (The Green) or privately run halls. Only 13.7 per cent live in private rented housing</w:t>
      </w:r>
      <w:r w:rsidR="005848FE">
        <w:t>,</w:t>
      </w:r>
      <w:r w:rsidRPr="007440C5">
        <w:t xml:space="preserve"> either in off-street shared housing or in city centre apartments</w:t>
      </w:r>
      <w:r w:rsidR="005848FE">
        <w:t>. This is a</w:t>
      </w:r>
      <w:r w:rsidRPr="007440C5">
        <w:t xml:space="preserve"> much lower level than in Leeds and many other university cities. </w:t>
      </w:r>
    </w:p>
    <w:p w:rsidR="007440C5" w:rsidRPr="007440C5" w:rsidRDefault="007440C5" w:rsidP="00D0456D">
      <w:pPr>
        <w:tabs>
          <w:tab w:val="left" w:pos="1701"/>
        </w:tabs>
        <w:ind w:left="720"/>
        <w:rPr>
          <w:i/>
        </w:rPr>
      </w:pPr>
      <w:r w:rsidRPr="007440C5">
        <w:rPr>
          <w:i/>
        </w:rPr>
        <w:lastRenderedPageBreak/>
        <w:t xml:space="preserve">Table 28b: Type of accommodation of students living and studying in Bradford compared to Leeds </w:t>
      </w:r>
      <w:r w:rsidR="00D0456D">
        <w:rPr>
          <w:i/>
        </w:rPr>
        <w:tab/>
      </w:r>
      <w:r w:rsidRPr="007440C5">
        <w:rPr>
          <w:i/>
        </w:rPr>
        <w:t>and Nottingham</w:t>
      </w:r>
    </w:p>
    <w:tbl>
      <w:tblPr>
        <w:tblStyle w:val="TableGrid"/>
        <w:tblW w:w="0" w:type="auto"/>
        <w:tblInd w:w="720" w:type="dxa"/>
        <w:tblLook w:val="04A0" w:firstRow="1" w:lastRow="0" w:firstColumn="1" w:lastColumn="0" w:noHBand="0" w:noVBand="1"/>
      </w:tblPr>
      <w:tblGrid>
        <w:gridCol w:w="3216"/>
        <w:gridCol w:w="1408"/>
        <w:gridCol w:w="1568"/>
        <w:gridCol w:w="1560"/>
      </w:tblGrid>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Bradford</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Leeds</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Nottingham</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LIVING IN…...</w:t>
            </w: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70.1%</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96.0%</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87.3%</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Private halls</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15.8%</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25.0%</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17.7%</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University/College halls</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10.1%</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21.7%</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10.1%</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PBSA</w:t>
            </w: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25.9%</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46.7%</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27.8%</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 centre private rented</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2.8%</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4.8%</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7.6%</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Off-street private rented</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10.9%</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44.4%</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45.4%</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PRIVATE RENTED</w:t>
            </w: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13.6%</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49.2%</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53.0%</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Own home</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8.9%</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2.9%</w:t>
            </w:r>
          </w:p>
        </w:tc>
      </w:tr>
      <w:tr w:rsidR="007440C5" w:rsidRPr="007440C5" w:rsidTr="00BB288F">
        <w:tc>
          <w:tcPr>
            <w:tcW w:w="3216" w:type="dxa"/>
            <w:vAlign w:val="bottom"/>
          </w:tcPr>
          <w:p w:rsidR="007440C5" w:rsidRPr="007440C5" w:rsidRDefault="007440C5" w:rsidP="00B26FEF">
            <w:pPr>
              <w:spacing w:line="312"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Parent</w:t>
            </w:r>
            <w:r w:rsidR="00B26FEF">
              <w:rPr>
                <w:rFonts w:ascii="Calibri" w:eastAsia="Times New Roman" w:hAnsi="Calibri" w:cs="Times New Roman"/>
                <w:color w:val="000000"/>
                <w:sz w:val="20"/>
                <w:lang w:eastAsia="en-GB"/>
              </w:rPr>
              <w:t>s’</w:t>
            </w:r>
            <w:r w:rsidRPr="007440C5">
              <w:rPr>
                <w:rFonts w:ascii="Calibri" w:eastAsia="Times New Roman" w:hAnsi="Calibri" w:cs="Times New Roman"/>
                <w:color w:val="000000"/>
                <w:sz w:val="20"/>
                <w:lang w:eastAsia="en-GB"/>
              </w:rPr>
              <w:t xml:space="preserve"> home</w:t>
            </w:r>
          </w:p>
        </w:tc>
        <w:tc>
          <w:tcPr>
            <w:tcW w:w="140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21.5%</w:t>
            </w:r>
          </w:p>
        </w:tc>
        <w:tc>
          <w:tcPr>
            <w:tcW w:w="1568"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2.4%</w:t>
            </w:r>
          </w:p>
        </w:tc>
        <w:tc>
          <w:tcPr>
            <w:tcW w:w="1560" w:type="dxa"/>
            <w:vAlign w:val="bottom"/>
          </w:tcPr>
          <w:p w:rsidR="007440C5" w:rsidRPr="007440C5" w:rsidRDefault="007440C5" w:rsidP="007440C5">
            <w:pPr>
              <w:spacing w:line="312"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r>
      <w:tr w:rsidR="007440C5" w:rsidRPr="007440C5" w:rsidTr="00BB288F">
        <w:tc>
          <w:tcPr>
            <w:tcW w:w="3216" w:type="dxa"/>
            <w:vAlign w:val="bottom"/>
          </w:tcPr>
          <w:p w:rsidR="007440C5" w:rsidRPr="007440C5" w:rsidRDefault="007440C5" w:rsidP="00B26FEF">
            <w:pPr>
              <w:spacing w:line="312"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IN PARENT</w:t>
            </w:r>
            <w:r w:rsidR="00B26FEF">
              <w:rPr>
                <w:rFonts w:ascii="Calibri" w:eastAsia="Times New Roman" w:hAnsi="Calibri" w:cs="Times New Roman"/>
                <w:b/>
                <w:bCs/>
                <w:color w:val="000000"/>
                <w:sz w:val="20"/>
                <w:lang w:eastAsia="en-GB"/>
              </w:rPr>
              <w:t>S’</w:t>
            </w:r>
            <w:r w:rsidRPr="007440C5">
              <w:rPr>
                <w:rFonts w:ascii="Calibri" w:eastAsia="Times New Roman" w:hAnsi="Calibri" w:cs="Times New Roman"/>
                <w:b/>
                <w:bCs/>
                <w:color w:val="000000"/>
                <w:sz w:val="20"/>
                <w:lang w:eastAsia="en-GB"/>
              </w:rPr>
              <w:t xml:space="preserve"> OR OWN HOME</w:t>
            </w: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30.4%</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4.0%</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6.5%</w:t>
            </w:r>
          </w:p>
        </w:tc>
      </w:tr>
      <w:tr w:rsidR="007440C5" w:rsidRPr="007440C5" w:rsidTr="00BB288F">
        <w:tc>
          <w:tcPr>
            <w:tcW w:w="3216" w:type="dxa"/>
            <w:vAlign w:val="bottom"/>
          </w:tcPr>
          <w:p w:rsidR="007440C5" w:rsidRPr="007440C5" w:rsidRDefault="007440C5" w:rsidP="007440C5">
            <w:pPr>
              <w:spacing w:line="312"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LIVING OUTSIDE……...</w:t>
            </w:r>
          </w:p>
        </w:tc>
        <w:tc>
          <w:tcPr>
            <w:tcW w:w="140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29.9%</w:t>
            </w:r>
          </w:p>
        </w:tc>
        <w:tc>
          <w:tcPr>
            <w:tcW w:w="1568"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4.0%</w:t>
            </w:r>
          </w:p>
        </w:tc>
        <w:tc>
          <w:tcPr>
            <w:tcW w:w="1560" w:type="dxa"/>
            <w:vAlign w:val="bottom"/>
          </w:tcPr>
          <w:p w:rsidR="007440C5" w:rsidRPr="007440C5" w:rsidRDefault="007440C5" w:rsidP="007440C5">
            <w:pPr>
              <w:spacing w:line="312"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12.7%</w:t>
            </w:r>
          </w:p>
        </w:tc>
      </w:tr>
    </w:tbl>
    <w:p w:rsidR="007440C5" w:rsidRPr="00570ADD" w:rsidRDefault="00570ADD" w:rsidP="007440C5">
      <w:pPr>
        <w:ind w:left="720"/>
        <w:rPr>
          <w:sz w:val="18"/>
        </w:rPr>
      </w:pPr>
      <w:r>
        <w:rPr>
          <w:sz w:val="18"/>
        </w:rPr>
        <w:t>(</w:t>
      </w:r>
      <w:r w:rsidR="007440C5" w:rsidRPr="007440C5">
        <w:rPr>
          <w:i/>
          <w:sz w:val="18"/>
        </w:rPr>
        <w:t>Source:  University of Bradford</w:t>
      </w:r>
      <w:r>
        <w:rPr>
          <w:i/>
          <w:sz w:val="18"/>
        </w:rPr>
        <w:t xml:space="preserve"> 2014 and </w:t>
      </w:r>
      <w:proofErr w:type="gramStart"/>
      <w:r>
        <w:rPr>
          <w:i/>
          <w:sz w:val="18"/>
        </w:rPr>
        <w:t>Unipol  2012</w:t>
      </w:r>
      <w:proofErr w:type="gramEnd"/>
      <w:r>
        <w:rPr>
          <w:i/>
          <w:sz w:val="18"/>
        </w:rPr>
        <w:t xml:space="preserve"> and 2013</w:t>
      </w:r>
      <w:r>
        <w:rPr>
          <w:sz w:val="18"/>
        </w:rPr>
        <w:t>)</w:t>
      </w:r>
    </w:p>
    <w:p w:rsidR="007440C5" w:rsidRPr="007440C5" w:rsidRDefault="007440C5" w:rsidP="007440C5">
      <w:pPr>
        <w:ind w:left="720"/>
      </w:pPr>
      <w:r w:rsidRPr="007440C5">
        <w:t xml:space="preserve">Table 28b shows the breakdown of where students in Bradford live </w:t>
      </w:r>
      <w:r w:rsidR="00570ADD">
        <w:t xml:space="preserve">in </w:t>
      </w:r>
      <w:r w:rsidRPr="007440C5">
        <w:t>comparison to Leeds and Nottingham</w:t>
      </w:r>
      <w:r w:rsidR="00570ADD">
        <w:t>,</w:t>
      </w:r>
      <w:r w:rsidRPr="007440C5">
        <w:t xml:space="preserve"> based on the findings from the two Unipol research projects in those cities. It shows that the proportion of students:</w:t>
      </w:r>
    </w:p>
    <w:p w:rsidR="007440C5" w:rsidRPr="007440C5" w:rsidRDefault="007440C5" w:rsidP="00D0456D">
      <w:pPr>
        <w:numPr>
          <w:ilvl w:val="0"/>
          <w:numId w:val="5"/>
        </w:numPr>
        <w:ind w:left="993" w:hanging="273"/>
        <w:contextualSpacing/>
      </w:pPr>
      <w:r w:rsidRPr="007440C5">
        <w:t>living in PBSA as a whole in Bradfor</w:t>
      </w:r>
      <w:r w:rsidR="00570ADD">
        <w:t xml:space="preserve">d (and in private sector and institutional PBSA also) </w:t>
      </w:r>
      <w:r w:rsidRPr="007440C5">
        <w:t>is similar to Nottingham but much lower than in Leeds</w:t>
      </w:r>
    </w:p>
    <w:p w:rsidR="007440C5" w:rsidRPr="007440C5" w:rsidRDefault="007440C5" w:rsidP="00D0456D">
      <w:pPr>
        <w:numPr>
          <w:ilvl w:val="0"/>
          <w:numId w:val="5"/>
        </w:numPr>
        <w:ind w:left="993" w:hanging="273"/>
        <w:contextualSpacing/>
      </w:pPr>
      <w:proofErr w:type="gramStart"/>
      <w:r w:rsidRPr="007440C5">
        <w:t>living</w:t>
      </w:r>
      <w:proofErr w:type="gramEnd"/>
      <w:r w:rsidRPr="007440C5">
        <w:t xml:space="preserve"> in private rented off-street or city centre housing is significantly lower than in Leeds and Nottingham.</w:t>
      </w:r>
    </w:p>
    <w:p w:rsidR="007440C5" w:rsidRPr="007440C5" w:rsidRDefault="007440C5" w:rsidP="00D0456D">
      <w:pPr>
        <w:numPr>
          <w:ilvl w:val="1"/>
          <w:numId w:val="5"/>
        </w:numPr>
        <w:ind w:left="1276" w:hanging="283"/>
        <w:contextualSpacing/>
      </w:pPr>
      <w:r w:rsidRPr="007440C5">
        <w:t>The proportion of students living in off-street private rented housing is a quarter of the proportions in Leeds and Nottingham. This means that landlords in the off-street market in Bradford may not be under the same competitive pressure to raise standards of condition and amenity/facilities as those in Leeds and Nottingham. It also means that the issues of student concentration that are at play in Leeds, and to a lesser extent in Nottingham, are not in evidence in Bradford</w:t>
      </w:r>
    </w:p>
    <w:p w:rsidR="007440C5" w:rsidRPr="007440C5" w:rsidRDefault="007440C5" w:rsidP="00D0456D">
      <w:pPr>
        <w:numPr>
          <w:ilvl w:val="1"/>
          <w:numId w:val="5"/>
        </w:numPr>
        <w:ind w:left="1276" w:hanging="283"/>
        <w:contextualSpacing/>
      </w:pPr>
      <w:r w:rsidRPr="007440C5">
        <w:t>The proportion of students living in city centre rented housing is also significantly lower in Bradford than in Leeds or Nottingham</w:t>
      </w:r>
    </w:p>
    <w:p w:rsidR="007440C5" w:rsidRPr="007440C5" w:rsidRDefault="007440C5" w:rsidP="00D0456D">
      <w:pPr>
        <w:numPr>
          <w:ilvl w:val="0"/>
          <w:numId w:val="5"/>
        </w:numPr>
        <w:ind w:left="993" w:hanging="273"/>
        <w:contextualSpacing/>
      </w:pPr>
      <w:r w:rsidRPr="007440C5">
        <w:t>living in their parent</w:t>
      </w:r>
      <w:r w:rsidR="00B26FEF">
        <w:t>s’</w:t>
      </w:r>
      <w:r w:rsidRPr="007440C5">
        <w:t xml:space="preserve"> home, however, is very nearly ten times higher in Bradford than in Leeds, and six times higher than in Nottingham</w:t>
      </w:r>
    </w:p>
    <w:p w:rsidR="007440C5" w:rsidRPr="007440C5" w:rsidRDefault="007440C5" w:rsidP="00D0456D">
      <w:pPr>
        <w:numPr>
          <w:ilvl w:val="0"/>
          <w:numId w:val="5"/>
        </w:numPr>
        <w:ind w:left="993" w:hanging="273"/>
        <w:contextualSpacing/>
      </w:pPr>
      <w:r w:rsidRPr="007440C5">
        <w:t>living in their own home is four times higher than in Leeds, and three times higher than in Nottingham</w:t>
      </w:r>
    </w:p>
    <w:p w:rsidR="007440C5" w:rsidRPr="007440C5" w:rsidRDefault="007440C5" w:rsidP="00D0456D">
      <w:pPr>
        <w:numPr>
          <w:ilvl w:val="0"/>
          <w:numId w:val="5"/>
        </w:numPr>
        <w:ind w:left="993" w:hanging="273"/>
        <w:contextualSpacing/>
      </w:pPr>
      <w:proofErr w:type="gramStart"/>
      <w:r w:rsidRPr="007440C5">
        <w:t>living</w:t>
      </w:r>
      <w:proofErr w:type="gramEnd"/>
      <w:r w:rsidRPr="007440C5">
        <w:t xml:space="preserve"> outside Bradford and studying at the University of Bradford is seven times higher than is the case  in Leeds, and two-and-a-half times in Nottingham.</w:t>
      </w:r>
    </w:p>
    <w:p w:rsidR="007440C5" w:rsidRPr="007440C5" w:rsidRDefault="007440C5" w:rsidP="007440C5">
      <w:pPr>
        <w:ind w:left="1080"/>
        <w:contextualSpacing/>
      </w:pPr>
    </w:p>
    <w:p w:rsidR="007440C5" w:rsidRPr="007440C5" w:rsidRDefault="007440C5" w:rsidP="007440C5">
      <w:pPr>
        <w:rPr>
          <w:b/>
        </w:rPr>
      </w:pPr>
      <w:r w:rsidRPr="00D0456D">
        <w:t>4.1.4</w:t>
      </w:r>
      <w:r w:rsidRPr="007440C5">
        <w:rPr>
          <w:b/>
        </w:rPr>
        <w:tab/>
      </w:r>
      <w:r w:rsidRPr="00D0456D">
        <w:rPr>
          <w:i/>
        </w:rPr>
        <w:t>Trends in student accommodation choices</w:t>
      </w:r>
    </w:p>
    <w:p w:rsidR="00570ADD" w:rsidRPr="00802450" w:rsidRDefault="007440C5" w:rsidP="00570ADD">
      <w:pPr>
        <w:ind w:left="720"/>
      </w:pPr>
      <w:r w:rsidRPr="007440C5">
        <w:t>There ha</w:t>
      </w:r>
      <w:r w:rsidR="00570ADD">
        <w:t>s</w:t>
      </w:r>
      <w:r w:rsidRPr="007440C5">
        <w:t xml:space="preserve"> been a shift in student locational and living choices between 2009 and 2014</w:t>
      </w:r>
      <w:r w:rsidR="00570ADD">
        <w:t>. This can, in part, be attributed to</w:t>
      </w:r>
      <w:r w:rsidR="00570ADD" w:rsidRPr="00802450">
        <w:t xml:space="preserve"> the reduction in numbers</w:t>
      </w:r>
      <w:r w:rsidR="00570ADD">
        <w:t>,</w:t>
      </w:r>
      <w:r w:rsidR="00570ADD" w:rsidRPr="00802450">
        <w:t xml:space="preserve"> but mostly </w:t>
      </w:r>
      <w:r w:rsidR="00570ADD">
        <w:t>to the University</w:t>
      </w:r>
      <w:r w:rsidR="00570ADD" w:rsidRPr="00802450">
        <w:t xml:space="preserve"> opening The Green Student Village. Table 29 below shows the change in the numbers of students living in various residential settings between these years.</w:t>
      </w:r>
    </w:p>
    <w:p w:rsidR="007440C5" w:rsidRPr="007440C5" w:rsidRDefault="007440C5" w:rsidP="002A2F76">
      <w:pPr>
        <w:tabs>
          <w:tab w:val="left" w:pos="1701"/>
        </w:tabs>
        <w:ind w:left="720"/>
        <w:rPr>
          <w:i/>
        </w:rPr>
      </w:pPr>
      <w:r w:rsidRPr="007440C5">
        <w:rPr>
          <w:i/>
        </w:rPr>
        <w:lastRenderedPageBreak/>
        <w:t xml:space="preserve">Table 29: </w:t>
      </w:r>
      <w:r w:rsidR="002A2F76">
        <w:rPr>
          <w:i/>
        </w:rPr>
        <w:tab/>
      </w:r>
      <w:r w:rsidRPr="007440C5">
        <w:rPr>
          <w:i/>
        </w:rPr>
        <w:t>Changes in the residential location of students at Bradford University: 2009-14</w:t>
      </w:r>
    </w:p>
    <w:tbl>
      <w:tblPr>
        <w:tblW w:w="8789"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5"/>
        <w:gridCol w:w="992"/>
        <w:gridCol w:w="993"/>
        <w:gridCol w:w="850"/>
        <w:gridCol w:w="992"/>
        <w:gridCol w:w="2127"/>
      </w:tblGrid>
      <w:tr w:rsidR="007440C5" w:rsidRPr="007440C5" w:rsidTr="00BB288F">
        <w:trPr>
          <w:trHeight w:val="300"/>
        </w:trPr>
        <w:tc>
          <w:tcPr>
            <w:tcW w:w="2835" w:type="dxa"/>
            <w:shd w:val="clear" w:color="auto" w:fill="auto"/>
            <w:noWrap/>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985" w:type="dxa"/>
            <w:gridSpan w:val="2"/>
            <w:shd w:val="clear" w:color="auto" w:fill="auto"/>
            <w:noWrap/>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2009</w:t>
            </w:r>
          </w:p>
        </w:tc>
        <w:tc>
          <w:tcPr>
            <w:tcW w:w="1842" w:type="dxa"/>
            <w:gridSpan w:val="2"/>
            <w:shd w:val="clear" w:color="auto" w:fill="auto"/>
            <w:noWrap/>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b/>
                <w:bCs/>
                <w:color w:val="000000"/>
                <w:sz w:val="20"/>
                <w:lang w:eastAsia="en-GB"/>
              </w:rPr>
              <w:t>2014</w:t>
            </w:r>
          </w:p>
        </w:tc>
        <w:tc>
          <w:tcPr>
            <w:tcW w:w="2127" w:type="dxa"/>
            <w:shd w:val="clear" w:color="auto" w:fill="auto"/>
            <w:noWrap/>
            <w:hideMark/>
          </w:tcPr>
          <w:p w:rsidR="007440C5" w:rsidRPr="007440C5" w:rsidRDefault="007440C5" w:rsidP="00570ADD">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Difference 2009-14</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Address in Bradford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7,344</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68.7%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7,271</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70.1%</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FF0000"/>
                <w:sz w:val="20"/>
                <w:lang w:eastAsia="en-GB"/>
              </w:rPr>
              <w:t>-73</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Private halls</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2,059</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1,643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15.8%</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FF0000"/>
                <w:sz w:val="20"/>
                <w:lang w:eastAsia="en-GB"/>
              </w:rPr>
              <w:t>-416</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University/College halls</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205</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1,047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10.1%</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842</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PBSA</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2,264</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21.2%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2,690</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25.9%</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426</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 centre private rented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338</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286</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2.8%</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FF0000"/>
                <w:sz w:val="20"/>
                <w:lang w:eastAsia="en-GB"/>
              </w:rPr>
              <w:t>-52</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Off-street private rented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1,545</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14.4%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1,127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10.9%</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FF0000"/>
                <w:sz w:val="20"/>
                <w:lang w:eastAsia="en-GB"/>
              </w:rPr>
              <w:t>-418</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PRIVATE RENTED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1,883</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17.6%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1,413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13.6%</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FF0000"/>
                <w:sz w:val="20"/>
                <w:lang w:eastAsia="en-GB"/>
              </w:rPr>
              <w:t>-470</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Own home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1,028</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9.6%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922</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8.9%</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FF0000"/>
                <w:sz w:val="20"/>
                <w:lang w:eastAsia="en-GB"/>
              </w:rPr>
              <w:t>-106</w:t>
            </w:r>
          </w:p>
        </w:tc>
      </w:tr>
      <w:tr w:rsidR="007440C5" w:rsidRPr="007440C5" w:rsidTr="00BB288F">
        <w:trPr>
          <w:trHeight w:val="300"/>
        </w:trPr>
        <w:tc>
          <w:tcPr>
            <w:tcW w:w="2835" w:type="dxa"/>
            <w:shd w:val="clear" w:color="auto" w:fill="auto"/>
            <w:noWrap/>
            <w:vAlign w:val="bottom"/>
            <w:hideMark/>
          </w:tcPr>
          <w:p w:rsidR="007440C5" w:rsidRPr="007440C5" w:rsidRDefault="007440C5" w:rsidP="00B26FEF">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Parent</w:t>
            </w:r>
            <w:r w:rsidR="00B26FEF">
              <w:rPr>
                <w:rFonts w:ascii="Calibri" w:eastAsia="Times New Roman" w:hAnsi="Calibri" w:cs="Times New Roman"/>
                <w:b/>
                <w:bCs/>
                <w:color w:val="000000"/>
                <w:sz w:val="20"/>
                <w:lang w:eastAsia="en-GB"/>
              </w:rPr>
              <w:t>s’</w:t>
            </w:r>
            <w:r w:rsidRPr="007440C5">
              <w:rPr>
                <w:rFonts w:ascii="Calibri" w:eastAsia="Times New Roman" w:hAnsi="Calibri" w:cs="Times New Roman"/>
                <w:b/>
                <w:bCs/>
                <w:color w:val="000000"/>
                <w:sz w:val="20"/>
                <w:lang w:eastAsia="en-GB"/>
              </w:rPr>
              <w:t xml:space="preserve"> home</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2,113</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19.8%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2,229</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21.5%</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116</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Address outside of Bradford</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3,350</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31.3%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3,104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29.9%</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FF0000"/>
                <w:sz w:val="20"/>
                <w:lang w:eastAsia="en-GB"/>
              </w:rPr>
              <w:t>-246</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In the Leeds City Region area</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2,213</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2,244</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21.6%</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31</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Elsewhere in UK</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876</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787</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7.6%</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FF0000"/>
                <w:sz w:val="20"/>
                <w:lang w:eastAsia="en-GB"/>
              </w:rPr>
              <w:t>-89</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Outside UK</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261</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73</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0.7%</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FF0000"/>
                <w:sz w:val="20"/>
                <w:lang w:eastAsia="en-GB"/>
              </w:rPr>
              <w:t>-188</w:t>
            </w:r>
          </w:p>
        </w:tc>
      </w:tr>
      <w:tr w:rsidR="007440C5" w:rsidRPr="007440C5" w:rsidTr="00BB288F">
        <w:trPr>
          <w:trHeight w:val="300"/>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10,694</w:t>
            </w:r>
          </w:p>
        </w:tc>
        <w:tc>
          <w:tcPr>
            <w:tcW w:w="993"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10,375</w:t>
            </w:r>
          </w:p>
        </w:tc>
        <w:tc>
          <w:tcPr>
            <w:tcW w:w="992"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c>
          <w:tcPr>
            <w:tcW w:w="212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FF0000"/>
                <w:sz w:val="20"/>
                <w:lang w:eastAsia="en-GB"/>
              </w:rPr>
              <w:t>-319</w:t>
            </w:r>
          </w:p>
        </w:tc>
      </w:tr>
    </w:tbl>
    <w:p w:rsidR="007440C5" w:rsidRPr="007440C5" w:rsidRDefault="007440C5" w:rsidP="007440C5">
      <w:pPr>
        <w:ind w:firstLine="720"/>
        <w:rPr>
          <w:sz w:val="18"/>
        </w:rPr>
      </w:pPr>
      <w:r w:rsidRPr="007440C5">
        <w:rPr>
          <w:sz w:val="18"/>
        </w:rPr>
        <w:t>(</w:t>
      </w:r>
      <w:r w:rsidRPr="007440C5">
        <w:rPr>
          <w:i/>
          <w:sz w:val="18"/>
        </w:rPr>
        <w:t>Source University of Bradford 2014</w:t>
      </w:r>
      <w:r w:rsidRPr="007440C5">
        <w:rPr>
          <w:sz w:val="18"/>
        </w:rPr>
        <w:t>)</w:t>
      </w:r>
    </w:p>
    <w:p w:rsidR="007440C5" w:rsidRPr="007440C5" w:rsidRDefault="007440C5" w:rsidP="007440C5">
      <w:pPr>
        <w:ind w:left="720"/>
      </w:pPr>
      <w:proofErr w:type="gramStart"/>
      <w:r w:rsidRPr="007440C5">
        <w:t>Table 29 above shows that there are 426 more students living in PBSA than in 2009, but 416 fewer students living in off-street shared private rented housing.</w:t>
      </w:r>
      <w:proofErr w:type="gramEnd"/>
      <w:r w:rsidRPr="007440C5">
        <w:t xml:space="preserve"> It also shows that there are 842 more students living in University or College PBSA than in 2009</w:t>
      </w:r>
      <w:r w:rsidR="00570ADD">
        <w:t xml:space="preserve">. This reflects The Green </w:t>
      </w:r>
      <w:r w:rsidR="001C1F5C">
        <w:t xml:space="preserve">Student Village </w:t>
      </w:r>
      <w:r w:rsidR="00570ADD">
        <w:t>coming into commission</w:t>
      </w:r>
      <w:r w:rsidR="001C1F5C">
        <w:t>. Significantly fewer student</w:t>
      </w:r>
      <w:r w:rsidRPr="007440C5">
        <w:t xml:space="preserve"> </w:t>
      </w:r>
      <w:r w:rsidR="001C1F5C">
        <w:t>(</w:t>
      </w:r>
      <w:r w:rsidRPr="007440C5">
        <w:t>416</w:t>
      </w:r>
      <w:r w:rsidR="001C1F5C">
        <w:t>)</w:t>
      </w:r>
      <w:r w:rsidRPr="007440C5">
        <w:t xml:space="preserve"> are living in privately run PBSA. </w:t>
      </w:r>
    </w:p>
    <w:p w:rsidR="007440C5" w:rsidRPr="007440C5" w:rsidRDefault="007440C5" w:rsidP="007440C5">
      <w:pPr>
        <w:ind w:left="720"/>
      </w:pPr>
      <w:r w:rsidRPr="007440C5">
        <w:t>Continuing wage stagnation following the credit crunch may be affecting the accommodation choices of students not wanting to live in University or private rented accommodation: 116 more students live in their parent</w:t>
      </w:r>
      <w:r w:rsidR="00B26FEF">
        <w:t>s’</w:t>
      </w:r>
      <w:r w:rsidRPr="007440C5">
        <w:t xml:space="preserve"> home, but 106 fewer students live in their own home.</w:t>
      </w:r>
    </w:p>
    <w:p w:rsidR="007440C5" w:rsidRPr="007440C5" w:rsidRDefault="007440C5" w:rsidP="007440C5">
      <w:pPr>
        <w:ind w:left="720"/>
        <w:rPr>
          <w:u w:val="single"/>
        </w:rPr>
      </w:pPr>
      <w:r w:rsidRPr="007440C5">
        <w:rPr>
          <w:u w:val="single"/>
        </w:rPr>
        <w:t>Students living in PBSA</w:t>
      </w:r>
    </w:p>
    <w:p w:rsidR="007440C5" w:rsidRPr="007440C5" w:rsidRDefault="007440C5" w:rsidP="007440C5">
      <w:pPr>
        <w:ind w:left="720"/>
      </w:pPr>
      <w:r w:rsidRPr="007440C5">
        <w:t xml:space="preserve">Table 30a below shows the schemes with the biggest increases and reductions in the number of resident students over the five years between 2009 and 2014. It shows the impact of the opening of The Green. The provisions managed by CRM and USL have both seen significant reductions in student demand, while demand and occupancy appear to have increased in the residences run by Campus Limited (which opened between these years) and by Sanctuary Housing at </w:t>
      </w:r>
      <w:proofErr w:type="spellStart"/>
      <w:r w:rsidRPr="007440C5">
        <w:t>Wardley</w:t>
      </w:r>
      <w:proofErr w:type="spellEnd"/>
      <w:r w:rsidRPr="007440C5">
        <w:t xml:space="preserve"> House and Malik Halls.</w:t>
      </w:r>
    </w:p>
    <w:p w:rsidR="002A2F76" w:rsidRDefault="002A2F76">
      <w:pPr>
        <w:rPr>
          <w:i/>
        </w:rPr>
      </w:pPr>
      <w:r>
        <w:rPr>
          <w:i/>
        </w:rPr>
        <w:br w:type="page"/>
      </w:r>
    </w:p>
    <w:p w:rsidR="007440C5" w:rsidRPr="007440C5" w:rsidRDefault="007440C5" w:rsidP="002A2F76">
      <w:pPr>
        <w:tabs>
          <w:tab w:val="left" w:pos="1701"/>
        </w:tabs>
        <w:ind w:firstLine="720"/>
        <w:rPr>
          <w:i/>
        </w:rPr>
      </w:pPr>
      <w:r w:rsidRPr="007440C5">
        <w:rPr>
          <w:i/>
        </w:rPr>
        <w:lastRenderedPageBreak/>
        <w:t>Table 30a: Number of students resident in PBSA schemes in 2014 in comparison to 2009</w:t>
      </w:r>
    </w:p>
    <w:tbl>
      <w:tblPr>
        <w:tblW w:w="9205" w:type="dxa"/>
        <w:tblInd w:w="8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93"/>
        <w:gridCol w:w="1559"/>
        <w:gridCol w:w="687"/>
        <w:gridCol w:w="762"/>
        <w:gridCol w:w="707"/>
        <w:gridCol w:w="762"/>
        <w:gridCol w:w="1335"/>
      </w:tblGrid>
      <w:tr w:rsidR="007440C5" w:rsidRPr="007440C5" w:rsidTr="00BB288F">
        <w:trPr>
          <w:trHeight w:val="322"/>
        </w:trPr>
        <w:tc>
          <w:tcPr>
            <w:tcW w:w="3393" w:type="dxa"/>
            <w:shd w:val="clear" w:color="auto" w:fill="auto"/>
            <w:hideMark/>
          </w:tcPr>
          <w:p w:rsidR="007440C5" w:rsidRPr="007440C5" w:rsidRDefault="007440C5" w:rsidP="007440C5">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PBSA Scheme</w:t>
            </w:r>
          </w:p>
        </w:tc>
        <w:tc>
          <w:tcPr>
            <w:tcW w:w="1559"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Provider</w:t>
            </w:r>
          </w:p>
        </w:tc>
        <w:tc>
          <w:tcPr>
            <w:tcW w:w="1449"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2009</w:t>
            </w:r>
          </w:p>
        </w:tc>
        <w:tc>
          <w:tcPr>
            <w:tcW w:w="1469"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b/>
                <w:bCs/>
                <w:color w:val="000000"/>
                <w:sz w:val="20"/>
                <w:szCs w:val="20"/>
                <w:lang w:eastAsia="en-GB"/>
              </w:rPr>
              <w:t>2014</w:t>
            </w:r>
          </w:p>
        </w:tc>
        <w:tc>
          <w:tcPr>
            <w:tcW w:w="1335"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 xml:space="preserve">Difference </w:t>
            </w:r>
          </w:p>
        </w:tc>
      </w:tr>
      <w:tr w:rsidR="007440C5" w:rsidRPr="007440C5" w:rsidTr="00BB288F">
        <w:trPr>
          <w:trHeight w:val="138"/>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 halls</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195</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8.6%</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0.0%</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-195</w:t>
            </w:r>
          </w:p>
        </w:tc>
      </w:tr>
      <w:tr w:rsidR="007440C5" w:rsidRPr="007440C5" w:rsidTr="00BB288F">
        <w:trPr>
          <w:trHeight w:val="197"/>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Laisteredge</w:t>
            </w:r>
            <w:proofErr w:type="spellEnd"/>
            <w:r w:rsidRPr="007440C5">
              <w:rPr>
                <w:rFonts w:ascii="Calibri" w:eastAsia="Times New Roman" w:hAnsi="Calibri" w:cs="Times New Roman"/>
                <w:color w:val="000000"/>
                <w:sz w:val="20"/>
                <w:szCs w:val="20"/>
                <w:lang w:eastAsia="en-GB"/>
              </w:rPr>
              <w:t xml:space="preserve"> Lane, Dennis Bellamy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157</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6.9%</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0.6%</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-141</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Laisteredge</w:t>
            </w:r>
            <w:proofErr w:type="spellEnd"/>
            <w:r w:rsidRPr="007440C5">
              <w:rPr>
                <w:rFonts w:ascii="Calibri" w:eastAsia="Times New Roman" w:hAnsi="Calibri" w:cs="Times New Roman"/>
                <w:color w:val="000000"/>
                <w:sz w:val="20"/>
                <w:szCs w:val="20"/>
                <w:lang w:eastAsia="en-GB"/>
              </w:rPr>
              <w:t xml:space="preserve"> Lane, Trinity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181</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1.7%</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-134</w:t>
            </w:r>
          </w:p>
        </w:tc>
      </w:tr>
      <w:tr w:rsidR="007440C5" w:rsidRPr="007440C5" w:rsidTr="00BB288F">
        <w:trPr>
          <w:trHeight w:val="204"/>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Haria</w:t>
            </w:r>
            <w:proofErr w:type="spellEnd"/>
            <w:r w:rsidRPr="007440C5">
              <w:rPr>
                <w:rFonts w:ascii="Calibri" w:eastAsia="Times New Roman" w:hAnsi="Calibri" w:cs="Times New Roman"/>
                <w:color w:val="000000"/>
                <w:sz w:val="20"/>
                <w:szCs w:val="20"/>
                <w:lang w:eastAsia="en-GB"/>
              </w:rPr>
              <w:t xml:space="preserve"> Halls/Tower</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TigerLime</w:t>
            </w:r>
            <w:proofErr w:type="spellEnd"/>
            <w:r w:rsidRPr="007440C5">
              <w:rPr>
                <w:rFonts w:ascii="Calibri" w:eastAsia="Times New Roman" w:hAnsi="Calibri" w:cs="Times New Roman"/>
                <w:color w:val="000000"/>
                <w:sz w:val="20"/>
                <w:szCs w:val="20"/>
                <w:lang w:eastAsia="en-GB"/>
              </w:rPr>
              <w:t xml:space="preserve"> Ltd</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233</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10.3%</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169</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5.1%</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-96</w:t>
            </w:r>
          </w:p>
        </w:tc>
      </w:tr>
      <w:tr w:rsidR="007440C5" w:rsidRPr="007440C5" w:rsidTr="00BB288F">
        <w:trPr>
          <w:trHeight w:val="251"/>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Arkwright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Prodigy House</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639</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28.2%</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548</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21.6%</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-59</w:t>
            </w:r>
          </w:p>
        </w:tc>
      </w:tr>
      <w:tr w:rsidR="007440C5" w:rsidRPr="007440C5" w:rsidTr="00BB288F">
        <w:trPr>
          <w:trHeight w:val="268"/>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Laisteredge</w:t>
            </w:r>
            <w:proofErr w:type="spellEnd"/>
            <w:r w:rsidRPr="007440C5">
              <w:rPr>
                <w:rFonts w:ascii="Calibri" w:eastAsia="Times New Roman" w:hAnsi="Calibri" w:cs="Times New Roman"/>
                <w:color w:val="000000"/>
                <w:sz w:val="20"/>
                <w:szCs w:val="20"/>
                <w:lang w:eastAsia="en-GB"/>
              </w:rPr>
              <w:t xml:space="preserve"> Lane, Charles Morris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0.6%</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-29</w:t>
            </w:r>
          </w:p>
        </w:tc>
      </w:tr>
      <w:tr w:rsidR="007440C5" w:rsidRPr="007440C5" w:rsidTr="00BB288F">
        <w:trPr>
          <w:trHeight w:val="131"/>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Laisteredge</w:t>
            </w:r>
            <w:proofErr w:type="spellEnd"/>
            <w:r w:rsidRPr="007440C5">
              <w:rPr>
                <w:rFonts w:ascii="Calibri" w:eastAsia="Times New Roman" w:hAnsi="Calibri" w:cs="Times New Roman"/>
                <w:color w:val="000000"/>
                <w:sz w:val="20"/>
                <w:szCs w:val="20"/>
                <w:lang w:eastAsia="en-GB"/>
              </w:rPr>
              <w:t xml:space="preserve"> Lane, International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27</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0.3%</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-19</w:t>
            </w:r>
          </w:p>
        </w:tc>
      </w:tr>
      <w:tr w:rsidR="007440C5" w:rsidRPr="007440C5" w:rsidTr="00BB288F">
        <w:trPr>
          <w:trHeight w:val="176"/>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Forster Hall</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CRM</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328</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14.5%</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312</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11.6%</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-16</w:t>
            </w:r>
          </w:p>
        </w:tc>
      </w:tr>
      <w:tr w:rsidR="007440C5" w:rsidRPr="007440C5" w:rsidTr="00BB288F">
        <w:trPr>
          <w:trHeight w:val="237"/>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Kexgill</w:t>
            </w:r>
            <w:proofErr w:type="spellEnd"/>
            <w:r w:rsidRPr="007440C5">
              <w:rPr>
                <w:rFonts w:ascii="Calibri" w:eastAsia="Times New Roman" w:hAnsi="Calibri" w:cs="Times New Roman"/>
                <w:color w:val="000000"/>
                <w:sz w:val="20"/>
                <w:szCs w:val="20"/>
                <w:lang w:eastAsia="en-GB"/>
              </w:rPr>
              <w:t xml:space="preserve"> House/Edmund Street</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Kexgill</w:t>
            </w:r>
            <w:proofErr w:type="spellEnd"/>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83</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68</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0.8%</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-15</w:t>
            </w:r>
          </w:p>
        </w:tc>
      </w:tr>
      <w:tr w:rsidR="007440C5" w:rsidRPr="007440C5" w:rsidTr="00BB288F">
        <w:trPr>
          <w:trHeight w:val="255"/>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Laiteredge</w:t>
            </w:r>
            <w:proofErr w:type="spellEnd"/>
            <w:r w:rsidRPr="007440C5">
              <w:rPr>
                <w:rFonts w:ascii="Calibri" w:eastAsia="Times New Roman" w:hAnsi="Calibri" w:cs="Times New Roman"/>
                <w:color w:val="000000"/>
                <w:sz w:val="20"/>
                <w:szCs w:val="20"/>
                <w:lang w:eastAsia="en-GB"/>
              </w:rPr>
              <w:t xml:space="preserve"> Lane, </w:t>
            </w:r>
            <w:proofErr w:type="spellStart"/>
            <w:r w:rsidRPr="007440C5">
              <w:rPr>
                <w:rFonts w:ascii="Calibri" w:eastAsia="Times New Roman" w:hAnsi="Calibri" w:cs="Times New Roman"/>
                <w:color w:val="000000"/>
                <w:sz w:val="20"/>
                <w:szCs w:val="20"/>
                <w:lang w:eastAsia="en-GB"/>
              </w:rPr>
              <w:t>Revis</w:t>
            </w:r>
            <w:proofErr w:type="spellEnd"/>
            <w:r w:rsidRPr="007440C5">
              <w:rPr>
                <w:rFonts w:ascii="Calibri" w:eastAsia="Times New Roman" w:hAnsi="Calibri" w:cs="Times New Roman"/>
                <w:color w:val="000000"/>
                <w:sz w:val="20"/>
                <w:szCs w:val="20"/>
                <w:lang w:eastAsia="en-GB"/>
              </w:rPr>
              <w:t xml:space="preserve"> Barber</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85</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77</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FF0000"/>
                <w:sz w:val="20"/>
                <w:szCs w:val="20"/>
                <w:lang w:eastAsia="en-GB"/>
              </w:rPr>
              <w:t>-8</w:t>
            </w:r>
          </w:p>
        </w:tc>
      </w:tr>
      <w:tr w:rsidR="007440C5" w:rsidRPr="007440C5" w:rsidTr="00BB288F">
        <w:trPr>
          <w:trHeight w:val="272"/>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 xml:space="preserve">Malik and </w:t>
            </w:r>
            <w:proofErr w:type="spellStart"/>
            <w:r w:rsidRPr="007440C5">
              <w:rPr>
                <w:rFonts w:ascii="Calibri" w:eastAsia="Times New Roman" w:hAnsi="Calibri" w:cs="Times New Roman"/>
                <w:color w:val="000000"/>
                <w:sz w:val="20"/>
                <w:szCs w:val="20"/>
                <w:lang w:eastAsia="en-GB"/>
              </w:rPr>
              <w:t>Trigg</w:t>
            </w:r>
            <w:proofErr w:type="spellEnd"/>
            <w:r w:rsidRPr="007440C5">
              <w:rPr>
                <w:rFonts w:ascii="Calibri" w:eastAsia="Times New Roman" w:hAnsi="Calibri" w:cs="Times New Roman"/>
                <w:color w:val="000000"/>
                <w:sz w:val="20"/>
                <w:szCs w:val="20"/>
                <w:lang w:eastAsia="en-GB"/>
              </w:rPr>
              <w:t xml:space="preserve"> Halls</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Malik Halls</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143</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143</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1.7%</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0</w:t>
            </w:r>
          </w:p>
        </w:tc>
      </w:tr>
      <w:tr w:rsidR="007440C5" w:rsidRPr="007440C5" w:rsidTr="00BB288F">
        <w:trPr>
          <w:trHeight w:val="277"/>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 xml:space="preserve">Doris </w:t>
            </w:r>
            <w:proofErr w:type="spellStart"/>
            <w:r w:rsidRPr="007440C5">
              <w:rPr>
                <w:rFonts w:ascii="Calibri" w:eastAsia="Times New Roman" w:hAnsi="Calibri" w:cs="Times New Roman"/>
                <w:color w:val="000000"/>
                <w:sz w:val="20"/>
                <w:szCs w:val="20"/>
                <w:lang w:eastAsia="en-GB"/>
              </w:rPr>
              <w:t>Birdsall</w:t>
            </w:r>
            <w:proofErr w:type="spellEnd"/>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University</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0.1%</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3</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Laisteredge</w:t>
            </w:r>
            <w:proofErr w:type="spellEnd"/>
            <w:r w:rsidRPr="007440C5">
              <w:rPr>
                <w:rFonts w:ascii="Calibri" w:eastAsia="Times New Roman" w:hAnsi="Calibri" w:cs="Times New Roman"/>
                <w:color w:val="000000"/>
                <w:sz w:val="20"/>
                <w:szCs w:val="20"/>
                <w:lang w:eastAsia="en-GB"/>
              </w:rPr>
              <w:t xml:space="preserve"> Lane, All Saints Halls</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USL</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0.3%</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0.4%</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4</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Campus House</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Campus</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27</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27</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 xml:space="preserve">Vernon </w:t>
            </w:r>
            <w:proofErr w:type="spellStart"/>
            <w:r w:rsidRPr="007440C5">
              <w:rPr>
                <w:rFonts w:ascii="Calibri" w:eastAsia="Times New Roman" w:hAnsi="Calibri" w:cs="Times New Roman"/>
                <w:color w:val="000000"/>
                <w:sz w:val="20"/>
                <w:szCs w:val="20"/>
                <w:lang w:eastAsia="en-GB"/>
              </w:rPr>
              <w:t>Barnby</w:t>
            </w:r>
            <w:proofErr w:type="spellEnd"/>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University</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0.0%</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32</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32</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roofErr w:type="spellStart"/>
            <w:r w:rsidRPr="007440C5">
              <w:rPr>
                <w:rFonts w:ascii="Calibri" w:eastAsia="Times New Roman" w:hAnsi="Calibri" w:cs="Times New Roman"/>
                <w:color w:val="000000"/>
                <w:sz w:val="20"/>
                <w:szCs w:val="20"/>
                <w:lang w:eastAsia="en-GB"/>
              </w:rPr>
              <w:t>Wardley</w:t>
            </w:r>
            <w:proofErr w:type="spellEnd"/>
            <w:r w:rsidRPr="007440C5">
              <w:rPr>
                <w:rFonts w:ascii="Calibri" w:eastAsia="Times New Roman" w:hAnsi="Calibri" w:cs="Times New Roman"/>
                <w:color w:val="000000"/>
                <w:sz w:val="20"/>
                <w:szCs w:val="20"/>
                <w:lang w:eastAsia="en-GB"/>
              </w:rPr>
              <w:t xml:space="preserve"> House</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Sanctuary</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152</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6.7%</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206</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7.7%</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54</w:t>
            </w:r>
          </w:p>
        </w:tc>
      </w:tr>
      <w:tr w:rsidR="007440C5" w:rsidRPr="007440C5" w:rsidTr="00BB288F">
        <w:trPr>
          <w:trHeight w:val="300"/>
        </w:trPr>
        <w:tc>
          <w:tcPr>
            <w:tcW w:w="3393"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The Green</w:t>
            </w:r>
          </w:p>
        </w:tc>
        <w:tc>
          <w:tcPr>
            <w:tcW w:w="1559" w:type="dxa"/>
            <w:shd w:val="clear" w:color="auto" w:fill="auto"/>
            <w:noWrap/>
            <w:vAlign w:val="center"/>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University</w:t>
            </w:r>
          </w:p>
        </w:tc>
        <w:tc>
          <w:tcPr>
            <w:tcW w:w="68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0.4%</w:t>
            </w:r>
          </w:p>
        </w:tc>
        <w:tc>
          <w:tcPr>
            <w:tcW w:w="707"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1,012</w:t>
            </w:r>
          </w:p>
        </w:tc>
        <w:tc>
          <w:tcPr>
            <w:tcW w:w="762"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37.6%</w:t>
            </w:r>
          </w:p>
        </w:tc>
        <w:tc>
          <w:tcPr>
            <w:tcW w:w="1335" w:type="dxa"/>
            <w:shd w:val="clear" w:color="auto" w:fill="auto"/>
            <w:noWrap/>
            <w:vAlign w:val="center"/>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1,002</w:t>
            </w:r>
          </w:p>
        </w:tc>
      </w:tr>
    </w:tbl>
    <w:p w:rsidR="007440C5" w:rsidRPr="007440C5" w:rsidRDefault="007440C5" w:rsidP="007440C5">
      <w:pPr>
        <w:ind w:firstLine="720"/>
        <w:rPr>
          <w:sz w:val="18"/>
        </w:rPr>
      </w:pPr>
      <w:r w:rsidRPr="007440C5">
        <w:rPr>
          <w:sz w:val="18"/>
        </w:rPr>
        <w:t>(</w:t>
      </w:r>
      <w:r w:rsidRPr="007440C5">
        <w:rPr>
          <w:i/>
          <w:sz w:val="18"/>
        </w:rPr>
        <w:t>Source</w:t>
      </w:r>
      <w:r w:rsidR="007600ED">
        <w:rPr>
          <w:i/>
          <w:sz w:val="18"/>
        </w:rPr>
        <w:t>:</w:t>
      </w:r>
      <w:r w:rsidRPr="007440C5">
        <w:rPr>
          <w:i/>
          <w:sz w:val="18"/>
        </w:rPr>
        <w:t xml:space="preserve"> University of Bradford 2014</w:t>
      </w:r>
      <w:r w:rsidRPr="007440C5">
        <w:rPr>
          <w:sz w:val="18"/>
        </w:rPr>
        <w:t>)</w:t>
      </w:r>
    </w:p>
    <w:p w:rsidR="007440C5" w:rsidRPr="007440C5" w:rsidRDefault="007440C5" w:rsidP="002A2F76">
      <w:pPr>
        <w:tabs>
          <w:tab w:val="left" w:pos="1701"/>
        </w:tabs>
        <w:ind w:left="720"/>
        <w:rPr>
          <w:i/>
        </w:rPr>
      </w:pPr>
      <w:r w:rsidRPr="007440C5">
        <w:rPr>
          <w:i/>
        </w:rPr>
        <w:t>Table 30b: Occupancy rates in PBSA provision 2014</w:t>
      </w:r>
    </w:p>
    <w:tbl>
      <w:tblPr>
        <w:tblW w:w="9214"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1843"/>
        <w:gridCol w:w="1134"/>
        <w:gridCol w:w="708"/>
        <w:gridCol w:w="851"/>
        <w:gridCol w:w="709"/>
        <w:gridCol w:w="708"/>
        <w:gridCol w:w="851"/>
      </w:tblGrid>
      <w:tr w:rsidR="007440C5" w:rsidRPr="007440C5" w:rsidTr="00BB288F">
        <w:trPr>
          <w:trHeight w:val="464"/>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Accommodation</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Provider</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Location</w:t>
            </w:r>
          </w:p>
        </w:tc>
        <w:tc>
          <w:tcPr>
            <w:tcW w:w="1559"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Bed spaces</w:t>
            </w:r>
          </w:p>
        </w:tc>
        <w:tc>
          <w:tcPr>
            <w:tcW w:w="1417"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Occupancy</w:t>
            </w:r>
          </w:p>
        </w:tc>
        <w:tc>
          <w:tcPr>
            <w:tcW w:w="851"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Surplus spaces</w:t>
            </w:r>
          </w:p>
        </w:tc>
      </w:tr>
      <w:tr w:rsidR="007440C5" w:rsidRPr="007440C5" w:rsidTr="00BB288F">
        <w:trPr>
          <w:trHeight w:val="300"/>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No</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No</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p>
        </w:tc>
      </w:tr>
      <w:tr w:rsidR="007440C5" w:rsidRPr="007440C5" w:rsidTr="00BB288F">
        <w:trPr>
          <w:trHeight w:val="255"/>
        </w:trPr>
        <w:tc>
          <w:tcPr>
            <w:tcW w:w="4253" w:type="dxa"/>
            <w:gridSpan w:val="2"/>
            <w:shd w:val="clear" w:color="auto" w:fill="auto"/>
            <w:noWrap/>
            <w:vAlign w:val="bottom"/>
            <w:hideMark/>
          </w:tcPr>
          <w:p w:rsidR="007440C5" w:rsidRPr="007440C5" w:rsidRDefault="007600ED" w:rsidP="007440C5">
            <w:pPr>
              <w:spacing w:after="0" w:line="240" w:lineRule="auto"/>
              <w:rPr>
                <w:rFonts w:ascii="Calibri" w:eastAsia="Times New Roman" w:hAnsi="Calibri" w:cs="Times New Roman"/>
                <w:b/>
                <w:bCs/>
                <w:sz w:val="18"/>
                <w:szCs w:val="20"/>
                <w:lang w:eastAsia="en-GB"/>
              </w:rPr>
            </w:pPr>
            <w:r>
              <w:rPr>
                <w:rFonts w:ascii="Calibri" w:eastAsia="Times New Roman" w:hAnsi="Calibri" w:cs="Times New Roman"/>
                <w:b/>
                <w:bCs/>
                <w:sz w:val="18"/>
                <w:szCs w:val="20"/>
                <w:lang w:eastAsia="en-GB"/>
              </w:rPr>
              <w:t>Code of Standards a</w:t>
            </w:r>
            <w:r w:rsidR="007440C5" w:rsidRPr="007440C5">
              <w:rPr>
                <w:rFonts w:ascii="Calibri" w:eastAsia="Times New Roman" w:hAnsi="Calibri" w:cs="Times New Roman"/>
                <w:b/>
                <w:bCs/>
                <w:sz w:val="18"/>
                <w:szCs w:val="20"/>
                <w:lang w:eastAsia="en-GB"/>
              </w:rPr>
              <w:t>ccommodation</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3,799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85.0%</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2545</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67.0%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The Green</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University of Bradford</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1,026</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22.9%</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1,012</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98.6%</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14</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Vernon </w:t>
            </w:r>
            <w:proofErr w:type="spellStart"/>
            <w:r w:rsidRPr="007440C5">
              <w:rPr>
                <w:rFonts w:ascii="Calibri" w:eastAsia="Times New Roman" w:hAnsi="Calibri" w:cs="Times New Roman"/>
                <w:sz w:val="18"/>
                <w:szCs w:val="20"/>
                <w:lang w:eastAsia="en-GB"/>
              </w:rPr>
              <w:t>Barnby</w:t>
            </w:r>
            <w:proofErr w:type="spellEnd"/>
            <w:r w:rsidRPr="007440C5">
              <w:rPr>
                <w:rFonts w:ascii="Calibri" w:eastAsia="Times New Roman" w:hAnsi="Calibri" w:cs="Times New Roman"/>
                <w:sz w:val="18"/>
                <w:szCs w:val="20"/>
                <w:lang w:eastAsia="en-GB"/>
              </w:rPr>
              <w:t xml:space="preserve"> Hall</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University of Bradford</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Frizinghall</w:t>
            </w:r>
            <w:proofErr w:type="spellEnd"/>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0.8%</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32</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94.1%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Kexgill</w:t>
            </w:r>
            <w:proofErr w:type="spellEnd"/>
            <w:r w:rsidRPr="007440C5">
              <w:rPr>
                <w:rFonts w:ascii="Calibri" w:eastAsia="Times New Roman" w:hAnsi="Calibri" w:cs="Times New Roman"/>
                <w:sz w:val="18"/>
                <w:szCs w:val="20"/>
                <w:lang w:eastAsia="en-GB"/>
              </w:rPr>
              <w:t xml:space="preserve"> House/Edmund St</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Kexgill</w:t>
            </w:r>
            <w:proofErr w:type="spellEnd"/>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City centre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1.7%</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64</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86.5%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10</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Arkwright Hall</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Prodigy House</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754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16.9%</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580</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76.9%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174</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Wardley</w:t>
            </w:r>
            <w:proofErr w:type="spellEnd"/>
            <w:r w:rsidRPr="007440C5">
              <w:rPr>
                <w:rFonts w:ascii="Calibri" w:eastAsia="Times New Roman" w:hAnsi="Calibri" w:cs="Times New Roman"/>
                <w:sz w:val="18"/>
                <w:szCs w:val="20"/>
                <w:lang w:eastAsia="en-GB"/>
              </w:rPr>
              <w:t xml:space="preserve"> House</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Sanctuary Students</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City centre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290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6.5%</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206</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71.0%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84</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Forster Hall</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UNITE</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Shearbridge</w:t>
            </w:r>
            <w:proofErr w:type="spellEnd"/>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504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11.3%</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312</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61.9%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192</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Campus House </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 House Ltd</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1.2%</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27</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51.9%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25</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Haria</w:t>
            </w:r>
            <w:proofErr w:type="spellEnd"/>
            <w:r w:rsidRPr="007440C5">
              <w:rPr>
                <w:rFonts w:ascii="Calibri" w:eastAsia="Times New Roman" w:hAnsi="Calibri" w:cs="Times New Roman"/>
                <w:sz w:val="18"/>
                <w:szCs w:val="20"/>
                <w:lang w:eastAsia="en-GB"/>
              </w:rPr>
              <w:t xml:space="preserve"> House/Tower</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TigerLime</w:t>
            </w:r>
            <w:proofErr w:type="spellEnd"/>
            <w:r w:rsidRPr="007440C5">
              <w:rPr>
                <w:rFonts w:ascii="Calibri" w:eastAsia="Times New Roman" w:hAnsi="Calibri" w:cs="Times New Roman"/>
                <w:sz w:val="18"/>
                <w:szCs w:val="20"/>
                <w:lang w:eastAsia="en-GB"/>
              </w:rPr>
              <w:t xml:space="preserve"> Ltd</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325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7.3%</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137</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42.2%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188</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Laisteridge</w:t>
            </w:r>
            <w:proofErr w:type="spellEnd"/>
            <w:r w:rsidRPr="007440C5">
              <w:rPr>
                <w:rFonts w:ascii="Calibri" w:eastAsia="Times New Roman" w:hAnsi="Calibri" w:cs="Times New Roman"/>
                <w:sz w:val="18"/>
                <w:szCs w:val="20"/>
                <w:lang w:eastAsia="en-GB"/>
              </w:rPr>
              <w:t xml:space="preserve"> Lane</w:t>
            </w:r>
          </w:p>
        </w:tc>
        <w:tc>
          <w:tcPr>
            <w:tcW w:w="1843"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USL</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Shearbridge</w:t>
            </w:r>
            <w:proofErr w:type="spellEnd"/>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490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11.0%</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158</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32.2%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332</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Grattan Residence</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Grattan Studios</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City centre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0.8%</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9</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25.7%</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26</w:t>
            </w:r>
          </w:p>
        </w:tc>
      </w:tr>
      <w:tr w:rsidR="007440C5" w:rsidRPr="007440C5" w:rsidTr="00BB288F">
        <w:trPr>
          <w:trHeight w:val="255"/>
        </w:trPr>
        <w:tc>
          <w:tcPr>
            <w:tcW w:w="2410" w:type="dxa"/>
            <w:shd w:val="clear" w:color="auto" w:fill="auto"/>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Doris </w:t>
            </w:r>
            <w:proofErr w:type="spellStart"/>
            <w:r w:rsidRPr="007440C5">
              <w:rPr>
                <w:rFonts w:ascii="Calibri" w:eastAsia="Times New Roman" w:hAnsi="Calibri" w:cs="Times New Roman"/>
                <w:sz w:val="18"/>
                <w:szCs w:val="20"/>
                <w:lang w:eastAsia="en-GB"/>
              </w:rPr>
              <w:t>Birdsall</w:t>
            </w:r>
            <w:proofErr w:type="spellEnd"/>
            <w:r w:rsidRPr="007440C5">
              <w:rPr>
                <w:rFonts w:ascii="Calibri" w:eastAsia="Times New Roman" w:hAnsi="Calibri" w:cs="Times New Roman"/>
                <w:sz w:val="18"/>
                <w:szCs w:val="20"/>
                <w:lang w:eastAsia="en-GB"/>
              </w:rPr>
              <w:t xml:space="preserve"> Halls (</w:t>
            </w:r>
            <w:r w:rsidRPr="007440C5">
              <w:rPr>
                <w:rFonts w:ascii="Calibri" w:eastAsia="Times New Roman" w:hAnsi="Calibri" w:cs="Times New Roman"/>
                <w:b/>
                <w:sz w:val="18"/>
                <w:szCs w:val="20"/>
                <w:lang w:eastAsia="en-GB"/>
              </w:rPr>
              <w:t>b)</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Bradford College</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1.2%</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8 </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14.5%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47</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Appleton Point </w:t>
            </w:r>
            <w:r w:rsidRPr="007440C5">
              <w:rPr>
                <w:rFonts w:ascii="Calibri" w:eastAsia="Times New Roman" w:hAnsi="Calibri" w:cs="Times New Roman"/>
                <w:b/>
                <w:sz w:val="18"/>
                <w:szCs w:val="20"/>
                <w:lang w:eastAsia="en-GB"/>
              </w:rPr>
              <w:t>(a)</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South Street IM Ltd</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City centre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160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3.6%</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NA</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p>
        </w:tc>
      </w:tr>
      <w:tr w:rsidR="007440C5" w:rsidRPr="007440C5" w:rsidTr="00BB288F">
        <w:trPr>
          <w:trHeight w:val="255"/>
        </w:trPr>
        <w:tc>
          <w:tcPr>
            <w:tcW w:w="4253" w:type="dxa"/>
            <w:gridSpan w:val="2"/>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Accommodation not in the Code of Standards</w:t>
            </w:r>
          </w:p>
        </w:tc>
        <w:tc>
          <w:tcPr>
            <w:tcW w:w="1134" w:type="dxa"/>
            <w:shd w:val="clear" w:color="auto" w:fill="auto"/>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673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15.0%</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187</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27.8%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486</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 xml:space="preserve">Malik and </w:t>
            </w:r>
            <w:proofErr w:type="spellStart"/>
            <w:r w:rsidRPr="007440C5">
              <w:rPr>
                <w:rFonts w:ascii="Calibri" w:eastAsia="Times New Roman" w:hAnsi="Calibri" w:cs="Times New Roman"/>
                <w:sz w:val="18"/>
                <w:szCs w:val="20"/>
                <w:lang w:eastAsia="en-GB"/>
              </w:rPr>
              <w:t>Trigg</w:t>
            </w:r>
            <w:proofErr w:type="spellEnd"/>
            <w:r w:rsidRPr="007440C5">
              <w:rPr>
                <w:rFonts w:ascii="Calibri" w:eastAsia="Times New Roman" w:hAnsi="Calibri" w:cs="Times New Roman"/>
                <w:sz w:val="18"/>
                <w:szCs w:val="20"/>
                <w:lang w:eastAsia="en-GB"/>
              </w:rPr>
              <w:t xml:space="preserve"> Halls</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Malik Halls</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Campus</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219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4.9%</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143</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65.3%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76</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Castle - Elm Field Villas</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Castle Ltd</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Heaton</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0.8%</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21</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61.8%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13</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Hockney</w:t>
            </w:r>
            <w:proofErr w:type="spellEnd"/>
            <w:r w:rsidRPr="007440C5">
              <w:rPr>
                <w:rFonts w:ascii="Calibri" w:eastAsia="Times New Roman" w:hAnsi="Calibri" w:cs="Times New Roman"/>
                <w:sz w:val="18"/>
                <w:szCs w:val="20"/>
                <w:lang w:eastAsia="en-GB"/>
              </w:rPr>
              <w:t xml:space="preserve"> Court </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Priestley &amp; Co</w:t>
            </w:r>
          </w:p>
        </w:tc>
        <w:tc>
          <w:tcPr>
            <w:tcW w:w="1134" w:type="dxa"/>
            <w:shd w:val="clear" w:color="auto" w:fill="auto"/>
            <w:noWrap/>
            <w:vAlign w:val="bottom"/>
            <w:hideMark/>
          </w:tcPr>
          <w:p w:rsidR="007440C5" w:rsidRPr="007440C5" w:rsidRDefault="007600ED" w:rsidP="007440C5">
            <w:pPr>
              <w:spacing w:after="0" w:line="240" w:lineRule="auto"/>
              <w:rPr>
                <w:rFonts w:ascii="Calibri" w:eastAsia="Times New Roman" w:hAnsi="Calibri" w:cs="Times New Roman"/>
                <w:sz w:val="18"/>
                <w:szCs w:val="20"/>
                <w:lang w:eastAsia="en-GB"/>
              </w:rPr>
            </w:pPr>
            <w:r>
              <w:rPr>
                <w:rFonts w:ascii="Calibri" w:eastAsia="Times New Roman" w:hAnsi="Calibri" w:cs="Times New Roman"/>
                <w:sz w:val="18"/>
                <w:szCs w:val="20"/>
                <w:lang w:eastAsia="en-GB"/>
              </w:rPr>
              <w:t>City c</w:t>
            </w:r>
            <w:r w:rsidR="007440C5" w:rsidRPr="007440C5">
              <w:rPr>
                <w:rFonts w:ascii="Calibri" w:eastAsia="Times New Roman" w:hAnsi="Calibri" w:cs="Times New Roman"/>
                <w:sz w:val="18"/>
                <w:szCs w:val="20"/>
                <w:lang w:eastAsia="en-GB"/>
              </w:rPr>
              <w:t>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0.4%</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10</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52.6%</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9</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SummerBerry</w:t>
            </w:r>
            <w:proofErr w:type="spellEnd"/>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Absolute Living</w:t>
            </w:r>
          </w:p>
        </w:tc>
        <w:tc>
          <w:tcPr>
            <w:tcW w:w="1134" w:type="dxa"/>
            <w:shd w:val="clear" w:color="auto" w:fill="auto"/>
            <w:noWrap/>
            <w:vAlign w:val="bottom"/>
            <w:hideMark/>
          </w:tcPr>
          <w:p w:rsidR="007440C5" w:rsidRPr="007440C5" w:rsidRDefault="007600ED" w:rsidP="007440C5">
            <w:pPr>
              <w:spacing w:after="0" w:line="240" w:lineRule="auto"/>
              <w:rPr>
                <w:rFonts w:ascii="Calibri" w:eastAsia="Times New Roman" w:hAnsi="Calibri" w:cs="Times New Roman"/>
                <w:sz w:val="18"/>
                <w:szCs w:val="20"/>
                <w:lang w:eastAsia="en-GB"/>
              </w:rPr>
            </w:pPr>
            <w:r>
              <w:rPr>
                <w:rFonts w:ascii="Calibri" w:eastAsia="Times New Roman" w:hAnsi="Calibri" w:cs="Times New Roman"/>
                <w:sz w:val="18"/>
                <w:szCs w:val="20"/>
                <w:lang w:eastAsia="en-GB"/>
              </w:rPr>
              <w:t>City c</w:t>
            </w:r>
            <w:r w:rsidR="007440C5" w:rsidRPr="007440C5">
              <w:rPr>
                <w:rFonts w:ascii="Calibri" w:eastAsia="Times New Roman" w:hAnsi="Calibri" w:cs="Times New Roman"/>
                <w:sz w:val="18"/>
                <w:szCs w:val="20"/>
                <w:lang w:eastAsia="en-GB"/>
              </w:rPr>
              <w:t>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160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3.6%</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12</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7.5%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148</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Castle-</w:t>
            </w:r>
            <w:proofErr w:type="spellStart"/>
            <w:r w:rsidRPr="007440C5">
              <w:rPr>
                <w:rFonts w:ascii="Calibri" w:eastAsia="Times New Roman" w:hAnsi="Calibri" w:cs="Times New Roman"/>
                <w:sz w:val="18"/>
                <w:szCs w:val="20"/>
                <w:lang w:eastAsia="en-GB"/>
              </w:rPr>
              <w:t>ChallowField</w:t>
            </w:r>
            <w:proofErr w:type="spellEnd"/>
            <w:r w:rsidRPr="007440C5">
              <w:rPr>
                <w:rFonts w:ascii="Calibri" w:eastAsia="Times New Roman" w:hAnsi="Calibri" w:cs="Times New Roman"/>
                <w:sz w:val="18"/>
                <w:szCs w:val="20"/>
                <w:lang w:eastAsia="en-GB"/>
              </w:rPr>
              <w:t xml:space="preserve"> Court</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Castle Ltd</w:t>
            </w: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Heaton</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0.5%</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20</w:t>
            </w:r>
          </w:p>
        </w:tc>
      </w:tr>
      <w:tr w:rsidR="007440C5" w:rsidRPr="007440C5" w:rsidTr="00BB288F">
        <w:trPr>
          <w:trHeight w:val="255"/>
        </w:trPr>
        <w:tc>
          <w:tcPr>
            <w:tcW w:w="241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Sunbridge</w:t>
            </w:r>
            <w:proofErr w:type="spellEnd"/>
            <w:r w:rsidRPr="007440C5">
              <w:rPr>
                <w:rFonts w:ascii="Calibri" w:eastAsia="Times New Roman" w:hAnsi="Calibri" w:cs="Times New Roman"/>
                <w:sz w:val="18"/>
                <w:szCs w:val="20"/>
                <w:lang w:eastAsia="en-GB"/>
              </w:rPr>
              <w:t xml:space="preserve"> Halls </w:t>
            </w:r>
            <w:r w:rsidRPr="007440C5">
              <w:rPr>
                <w:rFonts w:ascii="Calibri" w:eastAsia="Times New Roman" w:hAnsi="Calibri" w:cs="Times New Roman"/>
                <w:b/>
                <w:sz w:val="18"/>
                <w:szCs w:val="20"/>
                <w:lang w:eastAsia="en-GB"/>
              </w:rPr>
              <w:t>(a)</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18"/>
                <w:szCs w:val="20"/>
                <w:lang w:eastAsia="en-GB"/>
              </w:rPr>
            </w:pPr>
            <w:proofErr w:type="spellStart"/>
            <w:r w:rsidRPr="007440C5">
              <w:rPr>
                <w:rFonts w:ascii="Calibri" w:eastAsia="Times New Roman" w:hAnsi="Calibri" w:cs="Times New Roman"/>
                <w:sz w:val="18"/>
                <w:szCs w:val="20"/>
                <w:lang w:eastAsia="en-GB"/>
              </w:rPr>
              <w:t>Proudfoot</w:t>
            </w:r>
            <w:proofErr w:type="spellEnd"/>
          </w:p>
        </w:tc>
        <w:tc>
          <w:tcPr>
            <w:tcW w:w="1134" w:type="dxa"/>
            <w:shd w:val="clear" w:color="auto" w:fill="auto"/>
            <w:noWrap/>
            <w:vAlign w:val="bottom"/>
            <w:hideMark/>
          </w:tcPr>
          <w:p w:rsidR="007440C5" w:rsidRPr="007440C5" w:rsidRDefault="007600ED" w:rsidP="007440C5">
            <w:pPr>
              <w:spacing w:after="0" w:line="240" w:lineRule="auto"/>
              <w:rPr>
                <w:rFonts w:ascii="Calibri" w:eastAsia="Times New Roman" w:hAnsi="Calibri" w:cs="Times New Roman"/>
                <w:sz w:val="18"/>
                <w:szCs w:val="20"/>
                <w:lang w:eastAsia="en-GB"/>
              </w:rPr>
            </w:pPr>
            <w:r>
              <w:rPr>
                <w:rFonts w:ascii="Calibri" w:eastAsia="Times New Roman" w:hAnsi="Calibri" w:cs="Times New Roman"/>
                <w:sz w:val="18"/>
                <w:szCs w:val="20"/>
                <w:lang w:eastAsia="en-GB"/>
              </w:rPr>
              <w:t>City c</w:t>
            </w:r>
            <w:r w:rsidR="007440C5" w:rsidRPr="007440C5">
              <w:rPr>
                <w:rFonts w:ascii="Calibri" w:eastAsia="Times New Roman" w:hAnsi="Calibri" w:cs="Times New Roman"/>
                <w:sz w:val="18"/>
                <w:szCs w:val="20"/>
                <w:lang w:eastAsia="en-GB"/>
              </w:rPr>
              <w:t>entre</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220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4.9%</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NA</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220</w:t>
            </w:r>
          </w:p>
        </w:tc>
      </w:tr>
      <w:tr w:rsidR="007440C5" w:rsidRPr="007440C5" w:rsidTr="00BB288F">
        <w:trPr>
          <w:trHeight w:val="255"/>
        </w:trPr>
        <w:tc>
          <w:tcPr>
            <w:tcW w:w="2410" w:type="dxa"/>
            <w:shd w:val="clear" w:color="auto" w:fill="auto"/>
            <w:noWrap/>
            <w:vAlign w:val="bottom"/>
            <w:hideMark/>
          </w:tcPr>
          <w:p w:rsidR="007440C5" w:rsidRPr="007440C5" w:rsidRDefault="007600ED" w:rsidP="007440C5">
            <w:pPr>
              <w:spacing w:after="0" w:line="240" w:lineRule="auto"/>
              <w:rPr>
                <w:rFonts w:ascii="Calibri" w:eastAsia="Times New Roman" w:hAnsi="Calibri" w:cs="Times New Roman"/>
                <w:b/>
                <w:bCs/>
                <w:sz w:val="18"/>
                <w:szCs w:val="20"/>
                <w:lang w:eastAsia="en-GB"/>
              </w:rPr>
            </w:pPr>
            <w:r>
              <w:rPr>
                <w:rFonts w:ascii="Calibri" w:eastAsia="Times New Roman" w:hAnsi="Calibri" w:cs="Times New Roman"/>
                <w:b/>
                <w:bCs/>
                <w:sz w:val="18"/>
                <w:szCs w:val="20"/>
                <w:lang w:eastAsia="en-GB"/>
              </w:rPr>
              <w:t>All p</w:t>
            </w:r>
            <w:r w:rsidR="007440C5" w:rsidRPr="007440C5">
              <w:rPr>
                <w:rFonts w:ascii="Calibri" w:eastAsia="Times New Roman" w:hAnsi="Calibri" w:cs="Times New Roman"/>
                <w:b/>
                <w:bCs/>
                <w:sz w:val="18"/>
                <w:szCs w:val="20"/>
                <w:lang w:eastAsia="en-GB"/>
              </w:rPr>
              <w:t>urpose-built</w:t>
            </w:r>
          </w:p>
        </w:tc>
        <w:tc>
          <w:tcPr>
            <w:tcW w:w="1843"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p>
        </w:tc>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sz w:val="18"/>
                <w:szCs w:val="20"/>
                <w:lang w:eastAsia="en-GB"/>
              </w:rPr>
            </w:pP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100.0%</w:t>
            </w:r>
          </w:p>
        </w:tc>
        <w:tc>
          <w:tcPr>
            <w:tcW w:w="709"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2,732</w:t>
            </w:r>
          </w:p>
        </w:tc>
        <w:tc>
          <w:tcPr>
            <w:tcW w:w="70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sz w:val="18"/>
                <w:szCs w:val="20"/>
                <w:lang w:eastAsia="en-GB"/>
              </w:rPr>
            </w:pPr>
            <w:r w:rsidRPr="007440C5">
              <w:rPr>
                <w:rFonts w:ascii="Calibri" w:eastAsia="Times New Roman" w:hAnsi="Calibri" w:cs="Times New Roman"/>
                <w:b/>
                <w:bCs/>
                <w:sz w:val="18"/>
                <w:szCs w:val="20"/>
                <w:lang w:eastAsia="en-GB"/>
              </w:rPr>
              <w:t>61.1%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18"/>
                <w:szCs w:val="20"/>
                <w:lang w:eastAsia="en-GB"/>
              </w:rPr>
            </w:pPr>
            <w:r w:rsidRPr="007440C5">
              <w:rPr>
                <w:rFonts w:ascii="Calibri" w:eastAsia="Times New Roman" w:hAnsi="Calibri" w:cs="Times New Roman"/>
                <w:sz w:val="18"/>
                <w:szCs w:val="20"/>
                <w:lang w:eastAsia="en-GB"/>
              </w:rPr>
              <w:t>1,740</w:t>
            </w:r>
          </w:p>
        </w:tc>
      </w:tr>
    </w:tbl>
    <w:p w:rsidR="007440C5" w:rsidRPr="007440C5" w:rsidRDefault="007440C5" w:rsidP="007440C5">
      <w:pPr>
        <w:ind w:left="720"/>
      </w:pPr>
      <w:r w:rsidRPr="007440C5">
        <w:rPr>
          <w:i/>
          <w:sz w:val="18"/>
        </w:rPr>
        <w:t xml:space="preserve"> </w:t>
      </w:r>
      <w:r w:rsidRPr="007440C5">
        <w:rPr>
          <w:sz w:val="18"/>
        </w:rPr>
        <w:t>(</w:t>
      </w:r>
      <w:r w:rsidRPr="007440C5">
        <w:rPr>
          <w:i/>
          <w:sz w:val="18"/>
        </w:rPr>
        <w:t>Source:  University of Bradford 2014 and Unipol 2014</w:t>
      </w:r>
      <w:r w:rsidR="007600ED">
        <w:rPr>
          <w:sz w:val="18"/>
        </w:rPr>
        <w:t>.</w:t>
      </w:r>
      <w:r w:rsidR="007600ED">
        <w:rPr>
          <w:i/>
          <w:sz w:val="18"/>
        </w:rPr>
        <w:t xml:space="preserve"> </w:t>
      </w:r>
      <w:r w:rsidRPr="007440C5">
        <w:rPr>
          <w:i/>
          <w:sz w:val="18"/>
        </w:rPr>
        <w:t>Occupancy is derived from the numbers of students living at each PBSA provision listed in address records supplied by University of Bradford and Bradford College compared to known capacity figures for each provision.</w:t>
      </w:r>
      <w:r w:rsidRPr="007440C5">
        <w:rPr>
          <w:sz w:val="18"/>
        </w:rPr>
        <w:t>)</w:t>
      </w:r>
    </w:p>
    <w:p w:rsidR="007440C5" w:rsidRPr="007440C5" w:rsidRDefault="007440C5" w:rsidP="007440C5">
      <w:pPr>
        <w:ind w:left="720"/>
      </w:pPr>
      <w:r w:rsidRPr="007440C5">
        <w:lastRenderedPageBreak/>
        <w:t>Table 30b above shows</w:t>
      </w:r>
      <w:r w:rsidR="007600ED">
        <w:t>,</w:t>
      </w:r>
      <w:r w:rsidRPr="007440C5">
        <w:t xml:space="preserve"> where information is known</w:t>
      </w:r>
      <w:r w:rsidR="007600ED">
        <w:t>, that</w:t>
      </w:r>
      <w:r w:rsidRPr="007440C5">
        <w:t xml:space="preserve"> 61 per cent of PBSA provision is let and occupied leaving a potential surplus of 39 per cent of bed spaces, or almost 1,740 actual bed spaces.  This includes 380 new bed spaces currently available but not yet let.  Given student numbers and levels of demand</w:t>
      </w:r>
      <w:r w:rsidR="007600ED">
        <w:t>,</w:t>
      </w:r>
      <w:r w:rsidRPr="007440C5">
        <w:t xml:space="preserve"> it is likely that take-up of those new bed spaces will be matched by a reduction in occupancy in other PBSA provision. Two thirds of PBSA covered by the ANUK/Unipol Code of Standards is let and occupied, compared to only 28 per cent of non-Code provision, although some of this is not let solely to students and bed spaces could be occupied by other demand groups.  The University run accommodation at The Green and Vernon </w:t>
      </w:r>
      <w:proofErr w:type="spellStart"/>
      <w:r w:rsidRPr="007440C5">
        <w:t>Barnby</w:t>
      </w:r>
      <w:proofErr w:type="spellEnd"/>
      <w:r w:rsidRPr="007440C5">
        <w:t xml:space="preserve"> is virtually full</w:t>
      </w:r>
      <w:r w:rsidR="007600ED">
        <w:t>,</w:t>
      </w:r>
      <w:r w:rsidRPr="007440C5">
        <w:t xml:space="preserve"> but private sector providers are experiencing occupancy rates as low as 26 per cent.</w:t>
      </w:r>
    </w:p>
    <w:p w:rsidR="007440C5" w:rsidRPr="007440C5" w:rsidRDefault="007440C5" w:rsidP="007440C5">
      <w:pPr>
        <w:ind w:left="720"/>
        <w:rPr>
          <w:u w:val="single"/>
        </w:rPr>
      </w:pPr>
      <w:r w:rsidRPr="007440C5">
        <w:rPr>
          <w:u w:val="single"/>
        </w:rPr>
        <w:t>Students living in private rented housing</w:t>
      </w:r>
    </w:p>
    <w:p w:rsidR="007440C5" w:rsidRPr="007440C5" w:rsidRDefault="007440C5" w:rsidP="007440C5">
      <w:pPr>
        <w:ind w:left="720"/>
      </w:pPr>
      <w:r w:rsidRPr="007440C5">
        <w:t>The off-street private rented student housing market is, as Table 28b shows, much smaller than in other university cities, and appears to be shrinking further.  Table 31 shows a</w:t>
      </w:r>
      <w:r w:rsidR="007600ED">
        <w:t>n overall</w:t>
      </w:r>
      <w:r w:rsidRPr="007440C5">
        <w:t xml:space="preserve"> reduction</w:t>
      </w:r>
      <w:r w:rsidR="007600ED">
        <w:t xml:space="preserve"> of 25 per cent</w:t>
      </w:r>
      <w:r w:rsidRPr="007440C5">
        <w:t xml:space="preserve"> in the number of students in areas of the city with a recognised supply of private rented housing. There has been a fall of approaching 10 per cent in </w:t>
      </w:r>
      <w:proofErr w:type="spellStart"/>
      <w:r w:rsidRPr="007440C5">
        <w:t>Listerhills</w:t>
      </w:r>
      <w:proofErr w:type="spellEnd"/>
      <w:r w:rsidRPr="007440C5">
        <w:t xml:space="preserve"> and </w:t>
      </w:r>
      <w:proofErr w:type="spellStart"/>
      <w:r w:rsidRPr="007440C5">
        <w:t>Shearbridge</w:t>
      </w:r>
      <w:proofErr w:type="spellEnd"/>
      <w:r w:rsidRPr="007440C5">
        <w:t xml:space="preserve">; of 23 per cent in the city centre; of around 40 per cent in Little Horton and Lidgett Green to over 45 per cent in Great Horton, </w:t>
      </w:r>
      <w:proofErr w:type="spellStart"/>
      <w:r w:rsidRPr="007440C5">
        <w:t>Manningham</w:t>
      </w:r>
      <w:proofErr w:type="spellEnd"/>
      <w:r w:rsidRPr="007440C5">
        <w:t xml:space="preserve"> and other areas with smaller numbers of students.</w:t>
      </w:r>
    </w:p>
    <w:p w:rsidR="007440C5" w:rsidRPr="007440C5" w:rsidRDefault="007440C5" w:rsidP="001D1DE3">
      <w:pPr>
        <w:tabs>
          <w:tab w:val="left" w:pos="1701"/>
        </w:tabs>
        <w:ind w:firstLine="720"/>
        <w:rPr>
          <w:i/>
        </w:rPr>
      </w:pPr>
      <w:proofErr w:type="gramStart"/>
      <w:r w:rsidRPr="007440C5">
        <w:rPr>
          <w:i/>
        </w:rPr>
        <w:t>Table  31</w:t>
      </w:r>
      <w:proofErr w:type="gramEnd"/>
      <w:r w:rsidRPr="007440C5">
        <w:rPr>
          <w:i/>
        </w:rPr>
        <w:t xml:space="preserve">: </w:t>
      </w:r>
      <w:r w:rsidR="001D1DE3">
        <w:rPr>
          <w:i/>
        </w:rPr>
        <w:tab/>
      </w:r>
      <w:r w:rsidRPr="007440C5">
        <w:rPr>
          <w:i/>
        </w:rPr>
        <w:t>Students living in private rented accommodation 2009-14</w:t>
      </w:r>
    </w:p>
    <w:tbl>
      <w:tblPr>
        <w:tblW w:w="8401"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73"/>
        <w:gridCol w:w="992"/>
        <w:gridCol w:w="851"/>
        <w:gridCol w:w="850"/>
        <w:gridCol w:w="882"/>
        <w:gridCol w:w="933"/>
        <w:gridCol w:w="1020"/>
      </w:tblGrid>
      <w:tr w:rsidR="007440C5" w:rsidRPr="007440C5" w:rsidTr="00BB288F">
        <w:trPr>
          <w:trHeight w:val="315"/>
        </w:trPr>
        <w:tc>
          <w:tcPr>
            <w:tcW w:w="2873" w:type="dxa"/>
            <w:shd w:val="clear" w:color="auto" w:fill="auto"/>
            <w:noWrap/>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p>
        </w:tc>
        <w:tc>
          <w:tcPr>
            <w:tcW w:w="1843" w:type="dxa"/>
            <w:gridSpan w:val="2"/>
            <w:shd w:val="clear" w:color="auto" w:fill="auto"/>
            <w:noWrap/>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2009</w:t>
            </w:r>
          </w:p>
        </w:tc>
        <w:tc>
          <w:tcPr>
            <w:tcW w:w="1732" w:type="dxa"/>
            <w:gridSpan w:val="2"/>
            <w:shd w:val="clear" w:color="auto" w:fill="auto"/>
            <w:noWrap/>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b/>
                <w:bCs/>
                <w:color w:val="000000"/>
                <w:sz w:val="20"/>
                <w:lang w:eastAsia="en-GB"/>
              </w:rPr>
              <w:t>2014</w:t>
            </w:r>
          </w:p>
        </w:tc>
        <w:tc>
          <w:tcPr>
            <w:tcW w:w="1953" w:type="dxa"/>
            <w:gridSpan w:val="2"/>
          </w:tcPr>
          <w:p w:rsidR="007440C5" w:rsidRPr="007440C5" w:rsidRDefault="007440C5" w:rsidP="007440C5">
            <w:pPr>
              <w:spacing w:after="0" w:line="240" w:lineRule="auto"/>
              <w:jc w:val="center"/>
              <w:rPr>
                <w:rFonts w:ascii="Calibri" w:eastAsia="Times New Roman" w:hAnsi="Calibri" w:cs="Times New Roman"/>
                <w:b/>
                <w:color w:val="000000"/>
                <w:sz w:val="20"/>
                <w:lang w:eastAsia="en-GB"/>
              </w:rPr>
            </w:pPr>
            <w:r w:rsidRPr="007440C5">
              <w:rPr>
                <w:rFonts w:ascii="Calibri" w:eastAsia="Times New Roman" w:hAnsi="Calibri" w:cs="Times New Roman"/>
                <w:b/>
                <w:color w:val="000000"/>
                <w:sz w:val="20"/>
                <w:lang w:eastAsia="en-GB"/>
              </w:rPr>
              <w:t>Difference</w:t>
            </w:r>
          </w:p>
          <w:p w:rsidR="007440C5" w:rsidRPr="007440C5" w:rsidRDefault="007440C5" w:rsidP="007440C5">
            <w:pPr>
              <w:spacing w:after="0" w:line="240" w:lineRule="auto"/>
              <w:jc w:val="center"/>
              <w:rPr>
                <w:rFonts w:ascii="Calibri" w:eastAsia="Times New Roman" w:hAnsi="Calibri" w:cs="Times New Roman"/>
                <w:b/>
                <w:color w:val="000000"/>
                <w:sz w:val="20"/>
                <w:lang w:eastAsia="en-GB"/>
              </w:rPr>
            </w:pPr>
            <w:r w:rsidRPr="007440C5">
              <w:rPr>
                <w:rFonts w:ascii="Calibri" w:eastAsia="Times New Roman" w:hAnsi="Calibri" w:cs="Times New Roman"/>
                <w:b/>
                <w:color w:val="000000"/>
                <w:sz w:val="20"/>
                <w:lang w:eastAsia="en-GB"/>
              </w:rPr>
              <w:t>2009-14</w:t>
            </w:r>
          </w:p>
        </w:tc>
      </w:tr>
      <w:tr w:rsidR="007440C5" w:rsidRPr="007440C5" w:rsidTr="00BB288F">
        <w:trPr>
          <w:trHeight w:val="105"/>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Neighbourhood</w:t>
            </w:r>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No</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No</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w:t>
            </w:r>
          </w:p>
        </w:tc>
        <w:tc>
          <w:tcPr>
            <w:tcW w:w="933" w:type="dxa"/>
            <w:vAlign w:val="center"/>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p>
        </w:tc>
        <w:tc>
          <w:tcPr>
            <w:tcW w:w="1020" w:type="dxa"/>
            <w:vAlign w:val="center"/>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p>
        </w:tc>
      </w:tr>
      <w:tr w:rsidR="007440C5" w:rsidRPr="007440C5" w:rsidTr="00BB288F">
        <w:trPr>
          <w:trHeight w:val="195"/>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Shearbridge</w:t>
            </w:r>
            <w:proofErr w:type="spellEnd"/>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701</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37.2%</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637</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45.1%</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-64</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-9.1%</w:t>
            </w:r>
          </w:p>
        </w:tc>
      </w:tr>
      <w:tr w:rsidR="007440C5" w:rsidRPr="007440C5" w:rsidTr="00BB288F">
        <w:trPr>
          <w:trHeight w:val="226"/>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 centre/Little Germany</w:t>
            </w:r>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459</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24.4%</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351</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24.8%</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-108</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-23.5%</w:t>
            </w:r>
          </w:p>
        </w:tc>
      </w:tr>
      <w:tr w:rsidR="007440C5" w:rsidRPr="007440C5" w:rsidTr="00BB288F">
        <w:trPr>
          <w:trHeight w:val="103"/>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Lidgett Green</w:t>
            </w:r>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184</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9.8%</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111</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7.9%</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-73</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-39.7%</w:t>
            </w:r>
          </w:p>
        </w:tc>
      </w:tr>
      <w:tr w:rsidR="007440C5" w:rsidRPr="007440C5" w:rsidTr="00BB288F">
        <w:trPr>
          <w:trHeight w:val="121"/>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Heaton</w:t>
            </w:r>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62</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3.3%</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55</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3.9%</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-7</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-11.3%</w:t>
            </w:r>
          </w:p>
        </w:tc>
      </w:tr>
      <w:tr w:rsidR="007440C5" w:rsidRPr="007440C5" w:rsidTr="00BB288F">
        <w:trPr>
          <w:trHeight w:val="152"/>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Listerhills</w:t>
            </w:r>
            <w:proofErr w:type="spellEnd"/>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60</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3.2%</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55</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3.9%</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-5</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-8.3%</w:t>
            </w:r>
          </w:p>
        </w:tc>
      </w:tr>
      <w:tr w:rsidR="007440C5" w:rsidRPr="007440C5" w:rsidTr="00BB288F">
        <w:trPr>
          <w:trHeight w:val="171"/>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Little Horton area</w:t>
            </w:r>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85</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4.5%</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51</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-34</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-40.0%</w:t>
            </w:r>
          </w:p>
        </w:tc>
      </w:tr>
      <w:tr w:rsidR="007440C5" w:rsidRPr="007440C5" w:rsidTr="00BB288F">
        <w:trPr>
          <w:trHeight w:val="202"/>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Frizinghall</w:t>
            </w:r>
            <w:proofErr w:type="spellEnd"/>
          </w:p>
        </w:tc>
        <w:tc>
          <w:tcPr>
            <w:tcW w:w="99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60</w:t>
            </w:r>
          </w:p>
        </w:tc>
        <w:tc>
          <w:tcPr>
            <w:tcW w:w="851"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3.2%</w:t>
            </w:r>
          </w:p>
        </w:tc>
        <w:tc>
          <w:tcPr>
            <w:tcW w:w="850"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38</w:t>
            </w:r>
          </w:p>
        </w:tc>
        <w:tc>
          <w:tcPr>
            <w:tcW w:w="882" w:type="dxa"/>
            <w:shd w:val="clear" w:color="auto" w:fill="auto"/>
            <w:noWrap/>
            <w:vAlign w:val="center"/>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2.7%</w:t>
            </w:r>
          </w:p>
        </w:tc>
        <w:tc>
          <w:tcPr>
            <w:tcW w:w="933"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-22</w:t>
            </w:r>
          </w:p>
        </w:tc>
        <w:tc>
          <w:tcPr>
            <w:tcW w:w="1020" w:type="dxa"/>
            <w:vAlign w:val="center"/>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-36.7%</w:t>
            </w:r>
          </w:p>
        </w:tc>
      </w:tr>
      <w:tr w:rsidR="007440C5" w:rsidRPr="007440C5" w:rsidTr="00BB288F">
        <w:trPr>
          <w:trHeight w:val="221"/>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Great Horton</w:t>
            </w:r>
          </w:p>
        </w:tc>
        <w:tc>
          <w:tcPr>
            <w:tcW w:w="99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49</w:t>
            </w:r>
          </w:p>
        </w:tc>
        <w:tc>
          <w:tcPr>
            <w:tcW w:w="851"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w:t>
            </w:r>
          </w:p>
        </w:tc>
        <w:tc>
          <w:tcPr>
            <w:tcW w:w="850"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w:t>
            </w:r>
          </w:p>
        </w:tc>
        <w:tc>
          <w:tcPr>
            <w:tcW w:w="88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1.8%</w:t>
            </w:r>
          </w:p>
        </w:tc>
        <w:tc>
          <w:tcPr>
            <w:tcW w:w="933"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-23</w:t>
            </w:r>
          </w:p>
        </w:tc>
        <w:tc>
          <w:tcPr>
            <w:tcW w:w="1020"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-46.9%</w:t>
            </w:r>
          </w:p>
        </w:tc>
      </w:tr>
      <w:tr w:rsidR="007440C5" w:rsidRPr="007440C5" w:rsidTr="00BB288F">
        <w:trPr>
          <w:trHeight w:val="252"/>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Manningham</w:t>
            </w:r>
            <w:proofErr w:type="spellEnd"/>
          </w:p>
        </w:tc>
        <w:tc>
          <w:tcPr>
            <w:tcW w:w="99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66</w:t>
            </w:r>
          </w:p>
        </w:tc>
        <w:tc>
          <w:tcPr>
            <w:tcW w:w="851"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3.5%</w:t>
            </w:r>
          </w:p>
        </w:tc>
        <w:tc>
          <w:tcPr>
            <w:tcW w:w="850"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25</w:t>
            </w:r>
          </w:p>
        </w:tc>
        <w:tc>
          <w:tcPr>
            <w:tcW w:w="88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1.8%</w:t>
            </w:r>
          </w:p>
        </w:tc>
        <w:tc>
          <w:tcPr>
            <w:tcW w:w="933"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-41</w:t>
            </w:r>
          </w:p>
        </w:tc>
        <w:tc>
          <w:tcPr>
            <w:tcW w:w="1020"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-62.1%</w:t>
            </w:r>
          </w:p>
        </w:tc>
      </w:tr>
      <w:tr w:rsidR="007440C5" w:rsidRPr="007440C5" w:rsidTr="00BB288F">
        <w:trPr>
          <w:trHeight w:val="129"/>
        </w:trPr>
        <w:tc>
          <w:tcPr>
            <w:tcW w:w="2873" w:type="dxa"/>
            <w:shd w:val="clear" w:color="auto" w:fill="auto"/>
            <w:noWrap/>
            <w:vAlign w:val="center"/>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Other areas (24)</w:t>
            </w:r>
          </w:p>
        </w:tc>
        <w:tc>
          <w:tcPr>
            <w:tcW w:w="99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157</w:t>
            </w:r>
          </w:p>
        </w:tc>
        <w:tc>
          <w:tcPr>
            <w:tcW w:w="851"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8.3%</w:t>
            </w:r>
          </w:p>
        </w:tc>
        <w:tc>
          <w:tcPr>
            <w:tcW w:w="850"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64</w:t>
            </w:r>
          </w:p>
        </w:tc>
        <w:tc>
          <w:tcPr>
            <w:tcW w:w="88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4.5%</w:t>
            </w:r>
          </w:p>
        </w:tc>
        <w:tc>
          <w:tcPr>
            <w:tcW w:w="933"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-93</w:t>
            </w:r>
          </w:p>
        </w:tc>
        <w:tc>
          <w:tcPr>
            <w:tcW w:w="1020" w:type="dxa"/>
            <w:vAlign w:val="bottom"/>
          </w:tcPr>
          <w:p w:rsidR="007440C5" w:rsidRPr="007440C5" w:rsidRDefault="007440C5" w:rsidP="007440C5">
            <w:pPr>
              <w:spacing w:before="60" w:after="60" w:line="288" w:lineRule="auto"/>
              <w:jc w:val="center"/>
              <w:rPr>
                <w:rFonts w:ascii="Calibri" w:hAnsi="Calibri"/>
                <w:color w:val="FF0000"/>
                <w:sz w:val="20"/>
              </w:rPr>
            </w:pPr>
            <w:r w:rsidRPr="007440C5">
              <w:rPr>
                <w:rFonts w:ascii="Calibri" w:hAnsi="Calibri"/>
                <w:color w:val="FF0000"/>
                <w:sz w:val="20"/>
              </w:rPr>
              <w:t>-59.2%</w:t>
            </w:r>
          </w:p>
        </w:tc>
      </w:tr>
      <w:tr w:rsidR="007440C5" w:rsidRPr="007440C5" w:rsidTr="00BB288F">
        <w:trPr>
          <w:trHeight w:val="147"/>
        </w:trPr>
        <w:tc>
          <w:tcPr>
            <w:tcW w:w="2873" w:type="dxa"/>
            <w:shd w:val="clear" w:color="auto" w:fill="auto"/>
            <w:noWrap/>
            <w:vAlign w:val="bottom"/>
            <w:hideMark/>
          </w:tcPr>
          <w:p w:rsidR="007440C5" w:rsidRPr="007440C5" w:rsidRDefault="007440C5" w:rsidP="007440C5">
            <w:pPr>
              <w:spacing w:before="60" w:after="60" w:line="288" w:lineRule="auto"/>
              <w:rPr>
                <w:rFonts w:ascii="Calibri" w:eastAsia="Times New Roman" w:hAnsi="Calibri" w:cs="Times New Roman"/>
                <w:color w:val="000000"/>
                <w:sz w:val="20"/>
                <w:lang w:eastAsia="en-GB"/>
              </w:rPr>
            </w:pPr>
          </w:p>
        </w:tc>
        <w:tc>
          <w:tcPr>
            <w:tcW w:w="99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1,883</w:t>
            </w:r>
          </w:p>
        </w:tc>
        <w:tc>
          <w:tcPr>
            <w:tcW w:w="851"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c>
          <w:tcPr>
            <w:tcW w:w="850"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1,413</w:t>
            </w:r>
          </w:p>
        </w:tc>
        <w:tc>
          <w:tcPr>
            <w:tcW w:w="882" w:type="dxa"/>
            <w:shd w:val="clear" w:color="auto" w:fill="auto"/>
            <w:noWrap/>
            <w:vAlign w:val="bottom"/>
            <w:hideMark/>
          </w:tcPr>
          <w:p w:rsidR="007440C5" w:rsidRPr="007440C5" w:rsidRDefault="007440C5" w:rsidP="007440C5">
            <w:pPr>
              <w:spacing w:before="60" w:after="60" w:line="288"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c>
          <w:tcPr>
            <w:tcW w:w="933" w:type="dxa"/>
            <w:vAlign w:val="bottom"/>
          </w:tcPr>
          <w:p w:rsidR="007440C5" w:rsidRPr="007440C5" w:rsidRDefault="007440C5" w:rsidP="007440C5">
            <w:pPr>
              <w:spacing w:before="60" w:after="60" w:line="288" w:lineRule="auto"/>
              <w:jc w:val="center"/>
              <w:rPr>
                <w:rFonts w:ascii="Calibri" w:hAnsi="Calibri"/>
                <w:b/>
                <w:color w:val="FF0000"/>
                <w:sz w:val="20"/>
              </w:rPr>
            </w:pPr>
            <w:r w:rsidRPr="007440C5">
              <w:rPr>
                <w:rFonts w:ascii="Calibri" w:hAnsi="Calibri"/>
                <w:b/>
                <w:color w:val="FF0000"/>
                <w:sz w:val="20"/>
              </w:rPr>
              <w:t>-470</w:t>
            </w:r>
          </w:p>
        </w:tc>
        <w:tc>
          <w:tcPr>
            <w:tcW w:w="1020" w:type="dxa"/>
            <w:vAlign w:val="bottom"/>
          </w:tcPr>
          <w:p w:rsidR="007440C5" w:rsidRPr="007440C5" w:rsidRDefault="007440C5" w:rsidP="007440C5">
            <w:pPr>
              <w:spacing w:before="60" w:after="60" w:line="288" w:lineRule="auto"/>
              <w:jc w:val="center"/>
              <w:rPr>
                <w:rFonts w:ascii="Calibri" w:hAnsi="Calibri"/>
                <w:b/>
                <w:color w:val="FF0000"/>
                <w:sz w:val="20"/>
              </w:rPr>
            </w:pPr>
            <w:r w:rsidRPr="007440C5">
              <w:rPr>
                <w:rFonts w:ascii="Calibri" w:hAnsi="Calibri"/>
                <w:b/>
                <w:color w:val="FF0000"/>
                <w:sz w:val="20"/>
              </w:rPr>
              <w:t>-25.0%</w:t>
            </w:r>
          </w:p>
        </w:tc>
      </w:tr>
    </w:tbl>
    <w:p w:rsidR="007440C5" w:rsidRPr="007600ED" w:rsidRDefault="007600ED" w:rsidP="007440C5">
      <w:pPr>
        <w:ind w:firstLine="720"/>
        <w:rPr>
          <w:sz w:val="18"/>
        </w:rPr>
      </w:pPr>
      <w:r>
        <w:rPr>
          <w:sz w:val="18"/>
        </w:rPr>
        <w:t>(</w:t>
      </w:r>
      <w:r w:rsidR="007440C5" w:rsidRPr="007440C5">
        <w:rPr>
          <w:i/>
          <w:sz w:val="18"/>
        </w:rPr>
        <w:t>Sou</w:t>
      </w:r>
      <w:r>
        <w:rPr>
          <w:i/>
          <w:sz w:val="18"/>
        </w:rPr>
        <w:t>rce: University of Bradford 2014</w:t>
      </w:r>
      <w:r>
        <w:rPr>
          <w:sz w:val="18"/>
        </w:rPr>
        <w:t>)</w:t>
      </w:r>
    </w:p>
    <w:p w:rsidR="007440C5" w:rsidRPr="007440C5" w:rsidRDefault="007440C5" w:rsidP="007440C5">
      <w:pPr>
        <w:ind w:left="720"/>
        <w:rPr>
          <w:i/>
        </w:rPr>
      </w:pPr>
      <w:r w:rsidRPr="007440C5">
        <w:t>In general</w:t>
      </w:r>
      <w:r w:rsidR="007600ED">
        <w:t>,</w:t>
      </w:r>
      <w:r w:rsidRPr="007440C5">
        <w:t xml:space="preserve"> students choosing to live in private rented shared housing tend to want to live within close proximity to the University campus.  It would appear likely that </w:t>
      </w:r>
      <w:r w:rsidR="007600ED">
        <w:t xml:space="preserve">as </w:t>
      </w:r>
      <w:r w:rsidRPr="007440C5">
        <w:t xml:space="preserve">competitive pressure increases on the off-street sector, </w:t>
      </w:r>
      <w:r w:rsidR="007600ED">
        <w:t>those properties located fu</w:t>
      </w:r>
      <w:r w:rsidRPr="007440C5">
        <w:t>rther from the University, or with poorer facilities and conditions, or where problems with the landlord have been reported, will become difficult to let.</w:t>
      </w:r>
    </w:p>
    <w:p w:rsidR="001D1DE3" w:rsidRDefault="001D1DE3">
      <w:pPr>
        <w:rPr>
          <w:i/>
        </w:rPr>
      </w:pPr>
      <w:r>
        <w:rPr>
          <w:i/>
        </w:rPr>
        <w:br w:type="page"/>
      </w:r>
    </w:p>
    <w:p w:rsidR="007440C5" w:rsidRPr="007440C5" w:rsidRDefault="007440C5" w:rsidP="001D1DE3">
      <w:pPr>
        <w:tabs>
          <w:tab w:val="left" w:pos="1701"/>
        </w:tabs>
        <w:ind w:firstLine="720"/>
        <w:rPr>
          <w:i/>
        </w:rPr>
      </w:pPr>
      <w:r w:rsidRPr="007440C5">
        <w:rPr>
          <w:i/>
        </w:rPr>
        <w:lastRenderedPageBreak/>
        <w:t xml:space="preserve">Graph 11: </w:t>
      </w:r>
      <w:r w:rsidR="001D1DE3">
        <w:rPr>
          <w:i/>
        </w:rPr>
        <w:tab/>
      </w:r>
      <w:r w:rsidRPr="007440C5">
        <w:rPr>
          <w:i/>
        </w:rPr>
        <w:t>Changes in the proportion of students living in private rented accommodation 2009-14</w:t>
      </w:r>
    </w:p>
    <w:p w:rsidR="007440C5" w:rsidRPr="007440C5" w:rsidRDefault="007440C5" w:rsidP="007440C5">
      <w:pPr>
        <w:ind w:firstLine="720"/>
        <w:rPr>
          <w:i/>
        </w:rPr>
      </w:pPr>
      <w:r w:rsidRPr="007440C5">
        <w:rPr>
          <w:noProof/>
          <w:lang w:eastAsia="en-GB"/>
        </w:rPr>
        <w:drawing>
          <wp:anchor distT="0" distB="0" distL="114300" distR="114300" simplePos="0" relativeHeight="251669504" behindDoc="0" locked="0" layoutInCell="1" allowOverlap="1" wp14:anchorId="4E2F864E" wp14:editId="104033D5">
            <wp:simplePos x="0" y="0"/>
            <wp:positionH relativeFrom="column">
              <wp:posOffset>544830</wp:posOffset>
            </wp:positionH>
            <wp:positionV relativeFrom="paragraph">
              <wp:posOffset>13970</wp:posOffset>
            </wp:positionV>
            <wp:extent cx="4514850" cy="2066925"/>
            <wp:effectExtent l="0" t="0" r="19050"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7440C5" w:rsidRPr="007440C5" w:rsidRDefault="007440C5" w:rsidP="007440C5">
      <w:pPr>
        <w:ind w:firstLine="720"/>
        <w:rPr>
          <w:i/>
          <w:sz w:val="18"/>
        </w:rPr>
      </w:pPr>
    </w:p>
    <w:p w:rsidR="007440C5" w:rsidRPr="007440C5" w:rsidRDefault="007440C5" w:rsidP="007440C5">
      <w:pPr>
        <w:ind w:left="720"/>
      </w:pPr>
    </w:p>
    <w:p w:rsidR="007440C5" w:rsidRPr="007440C5" w:rsidRDefault="007440C5" w:rsidP="007440C5">
      <w:pPr>
        <w:ind w:left="720"/>
      </w:pPr>
    </w:p>
    <w:p w:rsidR="007440C5" w:rsidRPr="007440C5" w:rsidRDefault="007440C5" w:rsidP="007440C5">
      <w:pPr>
        <w:ind w:left="720"/>
      </w:pPr>
    </w:p>
    <w:p w:rsidR="007440C5" w:rsidRPr="007440C5" w:rsidRDefault="007440C5" w:rsidP="007440C5">
      <w:pPr>
        <w:ind w:left="720"/>
      </w:pPr>
    </w:p>
    <w:p w:rsidR="001D1DE3" w:rsidRDefault="001D1DE3" w:rsidP="007440C5">
      <w:pPr>
        <w:ind w:firstLine="720"/>
        <w:rPr>
          <w:sz w:val="18"/>
        </w:rPr>
      </w:pPr>
    </w:p>
    <w:p w:rsidR="007440C5" w:rsidRPr="007600ED" w:rsidRDefault="007600ED" w:rsidP="007440C5">
      <w:pPr>
        <w:ind w:firstLine="720"/>
        <w:rPr>
          <w:sz w:val="18"/>
        </w:rPr>
      </w:pPr>
      <w:r>
        <w:rPr>
          <w:sz w:val="18"/>
        </w:rPr>
        <w:t>(</w:t>
      </w:r>
      <w:r w:rsidR="007440C5" w:rsidRPr="007440C5">
        <w:rPr>
          <w:i/>
          <w:sz w:val="18"/>
        </w:rPr>
        <w:t>Sou</w:t>
      </w:r>
      <w:r>
        <w:rPr>
          <w:i/>
          <w:sz w:val="18"/>
        </w:rPr>
        <w:t>rce University of Bradford 2014</w:t>
      </w:r>
      <w:r>
        <w:rPr>
          <w:sz w:val="18"/>
        </w:rPr>
        <w:t>)</w:t>
      </w:r>
    </w:p>
    <w:p w:rsidR="007440C5" w:rsidRPr="007440C5" w:rsidRDefault="007600ED" w:rsidP="007440C5">
      <w:pPr>
        <w:ind w:left="720"/>
      </w:pPr>
      <w:r>
        <w:t>The relatively small size o</w:t>
      </w:r>
      <w:r w:rsidR="007440C5" w:rsidRPr="007440C5">
        <w:t xml:space="preserve">f the off-street sector in Bradford has also meant, however, that the issues with student concentration at play in cities such as Leeds and </w:t>
      </w:r>
      <w:proofErr w:type="gramStart"/>
      <w:r w:rsidR="007440C5" w:rsidRPr="007440C5">
        <w:t>Nottingham,</w:t>
      </w:r>
      <w:proofErr w:type="gramEnd"/>
      <w:r w:rsidR="007440C5" w:rsidRPr="007440C5">
        <w:t xml:space="preserve"> have not been in evidence in Bradford (see Table 23).</w:t>
      </w:r>
    </w:p>
    <w:p w:rsidR="007440C5" w:rsidRPr="007440C5" w:rsidRDefault="007440C5" w:rsidP="007440C5">
      <w:pPr>
        <w:rPr>
          <w:b/>
        </w:rPr>
      </w:pPr>
      <w:r w:rsidRPr="001D1DE3">
        <w:t>4.1.5</w:t>
      </w:r>
      <w:r w:rsidRPr="007440C5">
        <w:rPr>
          <w:b/>
        </w:rPr>
        <w:tab/>
      </w:r>
      <w:r w:rsidRPr="001D1DE3">
        <w:rPr>
          <w:i/>
        </w:rPr>
        <w:t>Residence by year of study</w:t>
      </w:r>
    </w:p>
    <w:p w:rsidR="007440C5" w:rsidRPr="007440C5" w:rsidRDefault="007440C5" w:rsidP="007440C5">
      <w:pPr>
        <w:ind w:left="720"/>
      </w:pPr>
      <w:r w:rsidRPr="007440C5">
        <w:t>The data supplied by the University of Bradford shows that there is a spread of accommodation type taken up according to year of study that is very different from the distribution in university cities like Leeds.  Table 32a below shows that the accommodation choices of returning students are greatly affected by the large proportion of students studying at the University but living outside Bradford, and the high proportion of students remaining in their parent</w:t>
      </w:r>
      <w:r w:rsidR="00B26FEF">
        <w:t>s’</w:t>
      </w:r>
      <w:r w:rsidRPr="007440C5">
        <w:t xml:space="preserve"> or </w:t>
      </w:r>
      <w:r w:rsidR="00B26FEF">
        <w:t xml:space="preserve">their </w:t>
      </w:r>
      <w:r w:rsidRPr="007440C5">
        <w:t>own home while studying.</w:t>
      </w:r>
    </w:p>
    <w:p w:rsidR="007440C5" w:rsidRPr="007440C5" w:rsidRDefault="007440C5" w:rsidP="001D1DE3">
      <w:pPr>
        <w:tabs>
          <w:tab w:val="left" w:pos="1701"/>
        </w:tabs>
        <w:ind w:firstLine="720"/>
        <w:rPr>
          <w:i/>
        </w:rPr>
      </w:pPr>
      <w:r w:rsidRPr="007440C5">
        <w:rPr>
          <w:i/>
        </w:rPr>
        <w:t>Table 32a: Type of accommodation by type and year of study 2014</w:t>
      </w:r>
    </w:p>
    <w:tbl>
      <w:tblPr>
        <w:tblpPr w:leftFromText="180" w:rightFromText="180" w:vertAnchor="text" w:horzAnchor="margin" w:tblpXSpec="right" w:tblpY="136"/>
        <w:tblOverlap w:val="never"/>
        <w:tblW w:w="91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10"/>
        <w:gridCol w:w="709"/>
        <w:gridCol w:w="669"/>
        <w:gridCol w:w="669"/>
        <w:gridCol w:w="669"/>
        <w:gridCol w:w="669"/>
        <w:gridCol w:w="669"/>
        <w:gridCol w:w="669"/>
        <w:gridCol w:w="669"/>
        <w:gridCol w:w="756"/>
      </w:tblGrid>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before="60" w:after="60" w:line="312" w:lineRule="auto"/>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 of type of student/year of study</w:t>
            </w:r>
          </w:p>
        </w:tc>
        <w:tc>
          <w:tcPr>
            <w:tcW w:w="3385" w:type="dxa"/>
            <w:gridSpan w:val="5"/>
            <w:shd w:val="clear" w:color="auto" w:fill="auto"/>
            <w:noWrap/>
            <w:vAlign w:val="center"/>
            <w:hideMark/>
          </w:tcPr>
          <w:p w:rsidR="007440C5" w:rsidRPr="007440C5" w:rsidRDefault="007440C5" w:rsidP="007440C5">
            <w:pPr>
              <w:spacing w:before="60" w:after="6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Undergraduate</w:t>
            </w:r>
          </w:p>
        </w:tc>
        <w:tc>
          <w:tcPr>
            <w:tcW w:w="2007" w:type="dxa"/>
            <w:gridSpan w:val="3"/>
            <w:shd w:val="clear" w:color="auto" w:fill="auto"/>
            <w:noWrap/>
            <w:vAlign w:val="center"/>
            <w:hideMark/>
          </w:tcPr>
          <w:p w:rsidR="007440C5" w:rsidRPr="007440C5" w:rsidRDefault="007440C5" w:rsidP="007440C5">
            <w:pPr>
              <w:spacing w:before="60" w:after="6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Postgraduate</w:t>
            </w:r>
          </w:p>
        </w:tc>
        <w:tc>
          <w:tcPr>
            <w:tcW w:w="756" w:type="dxa"/>
            <w:shd w:val="clear" w:color="auto" w:fill="auto"/>
            <w:noWrap/>
            <w:vAlign w:val="center"/>
            <w:hideMark/>
          </w:tcPr>
          <w:p w:rsidR="007440C5" w:rsidRPr="007440C5" w:rsidRDefault="007440C5" w:rsidP="007440C5">
            <w:pPr>
              <w:spacing w:before="60" w:after="6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ALL</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b/>
                <w:bCs/>
                <w:color w:val="000000"/>
                <w:sz w:val="18"/>
                <w:szCs w:val="18"/>
                <w:lang w:eastAsia="en-GB"/>
              </w:rPr>
            </w:pP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1st</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2nd</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3rd</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4th+</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ALL</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1st</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2nd</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ALL</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Private halls</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12.9%</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15.3%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16.4%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17.3%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15.0%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22.4%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8.2%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21.9%</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15.8%</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University halls</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19.3%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4.8%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9.0%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19.0%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2.1%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18.2%</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10.1%</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ALL PBSA</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32.2%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20.2%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19.7%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19.4%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24.0%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41.5%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b/>
                <w:bCs/>
                <w:color w:val="000000"/>
                <w:sz w:val="18"/>
                <w:szCs w:val="18"/>
              </w:rPr>
            </w:pPr>
            <w:r w:rsidRPr="007440C5">
              <w:rPr>
                <w:rFonts w:ascii="Calibri" w:hAnsi="Calibri"/>
                <w:b/>
                <w:bCs/>
                <w:color w:val="000000"/>
                <w:sz w:val="18"/>
                <w:szCs w:val="18"/>
              </w:rPr>
              <w:t>10.3%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39.1%</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25.9%</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Off-street rented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11.9%</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12.1%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12.3%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8.8%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20.2%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11.3%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20.1%</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10.1%</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Off-street rented (out of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2.1%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3.6%</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3.4%</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Private rented (Bradford city centre)</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0.0%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6.6%</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2.8%</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All rented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5.6%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20.2%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18.0%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18.2%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14.4%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30.9%</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b/>
                <w:bCs/>
                <w:color w:val="000000"/>
                <w:sz w:val="18"/>
                <w:szCs w:val="18"/>
              </w:rPr>
            </w:pPr>
            <w:r w:rsidRPr="007440C5">
              <w:rPr>
                <w:rFonts w:ascii="Calibri" w:hAnsi="Calibri"/>
                <w:b/>
                <w:bCs/>
                <w:color w:val="000000"/>
                <w:sz w:val="18"/>
                <w:szCs w:val="18"/>
              </w:rPr>
              <w:t>13.4%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29.6%</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16.3%</w:t>
            </w:r>
          </w:p>
        </w:tc>
      </w:tr>
      <w:tr w:rsidR="007440C5" w:rsidRPr="007440C5" w:rsidTr="00BB288F">
        <w:trPr>
          <w:trHeight w:val="300"/>
        </w:trPr>
        <w:tc>
          <w:tcPr>
            <w:tcW w:w="3010" w:type="dxa"/>
            <w:shd w:val="clear" w:color="auto" w:fill="auto"/>
            <w:noWrap/>
            <w:vAlign w:val="center"/>
            <w:hideMark/>
          </w:tcPr>
          <w:p w:rsidR="007440C5" w:rsidRPr="007440C5" w:rsidRDefault="007440C5" w:rsidP="00B26FEF">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Parent</w:t>
            </w:r>
            <w:r w:rsidR="00B26FEF">
              <w:rPr>
                <w:rFonts w:ascii="Calibri" w:eastAsia="Times New Roman" w:hAnsi="Calibri" w:cs="Times New Roman"/>
                <w:color w:val="000000"/>
                <w:sz w:val="18"/>
                <w:szCs w:val="18"/>
                <w:lang w:eastAsia="en-GB"/>
              </w:rPr>
              <w:t>s’</w:t>
            </w:r>
            <w:r w:rsidRPr="007440C5">
              <w:rPr>
                <w:rFonts w:ascii="Calibri" w:eastAsia="Times New Roman" w:hAnsi="Calibri" w:cs="Times New Roman"/>
                <w:color w:val="000000"/>
                <w:sz w:val="18"/>
                <w:szCs w:val="18"/>
                <w:lang w:eastAsia="en-GB"/>
              </w:rPr>
              <w:t xml:space="preserve"> home (in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24.6%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23.3%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21.0%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13.3%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22.4%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9.3%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5.8%</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20.4%</w:t>
            </w:r>
          </w:p>
        </w:tc>
      </w:tr>
      <w:tr w:rsidR="007440C5" w:rsidRPr="007440C5" w:rsidTr="00BB288F">
        <w:trPr>
          <w:trHeight w:val="300"/>
        </w:trPr>
        <w:tc>
          <w:tcPr>
            <w:tcW w:w="3010" w:type="dxa"/>
            <w:shd w:val="clear" w:color="auto" w:fill="auto"/>
            <w:noWrap/>
            <w:vAlign w:val="center"/>
            <w:hideMark/>
          </w:tcPr>
          <w:p w:rsidR="007440C5" w:rsidRPr="007440C5" w:rsidRDefault="007440C5" w:rsidP="004C7E44">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Parent</w:t>
            </w:r>
            <w:r w:rsidR="004C7E44">
              <w:rPr>
                <w:rFonts w:ascii="Calibri" w:eastAsia="Times New Roman" w:hAnsi="Calibri" w:cs="Times New Roman"/>
                <w:color w:val="000000"/>
                <w:sz w:val="18"/>
                <w:szCs w:val="18"/>
                <w:lang w:eastAsia="en-GB"/>
              </w:rPr>
              <w:t>s’</w:t>
            </w:r>
            <w:r w:rsidRPr="007440C5">
              <w:rPr>
                <w:rFonts w:ascii="Calibri" w:eastAsia="Times New Roman" w:hAnsi="Calibri" w:cs="Times New Roman"/>
                <w:color w:val="000000"/>
                <w:sz w:val="18"/>
                <w:szCs w:val="18"/>
                <w:lang w:eastAsia="en-GB"/>
              </w:rPr>
              <w:t xml:space="preserve"> home (Out of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21.8%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17.7%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21.7%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31.3%</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21.2%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12.4%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6.4%</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19.4%</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Own home (in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11.1%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7.4%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8.9%</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15.5%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9.6%</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7.7%</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Own home (out of Bradford)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12.6%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9.5%</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7.8%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6.0%</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9.8%</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6.2%</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37.1%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8.8%</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9.6%</w:t>
            </w:r>
          </w:p>
        </w:tc>
      </w:tr>
      <w:tr w:rsidR="007440C5" w:rsidRPr="007440C5" w:rsidTr="00BB288F">
        <w:trPr>
          <w:trHeight w:val="300"/>
        </w:trPr>
        <w:tc>
          <w:tcPr>
            <w:tcW w:w="3010" w:type="dxa"/>
            <w:shd w:val="clear" w:color="auto" w:fill="auto"/>
            <w:noWrap/>
            <w:vAlign w:val="center"/>
          </w:tcPr>
          <w:p w:rsidR="007440C5" w:rsidRPr="007440C5" w:rsidRDefault="007440C5" w:rsidP="004C7E44">
            <w:pPr>
              <w:spacing w:after="0" w:line="312" w:lineRule="auto"/>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All in parent</w:t>
            </w:r>
            <w:r w:rsidR="004C7E44">
              <w:rPr>
                <w:rFonts w:ascii="Calibri" w:eastAsia="Times New Roman" w:hAnsi="Calibri" w:cs="Times New Roman"/>
                <w:b/>
                <w:i/>
                <w:color w:val="000000"/>
                <w:sz w:val="18"/>
                <w:szCs w:val="18"/>
                <w:lang w:eastAsia="en-GB"/>
              </w:rPr>
              <w:t>s’</w:t>
            </w:r>
            <w:r w:rsidRPr="007440C5">
              <w:rPr>
                <w:rFonts w:ascii="Calibri" w:eastAsia="Times New Roman" w:hAnsi="Calibri" w:cs="Times New Roman"/>
                <w:b/>
                <w:i/>
                <w:color w:val="000000"/>
                <w:sz w:val="18"/>
                <w:szCs w:val="18"/>
                <w:lang w:eastAsia="en-GB"/>
              </w:rPr>
              <w:t xml:space="preserve"> or own home</w:t>
            </w:r>
          </w:p>
        </w:tc>
        <w:tc>
          <w:tcPr>
            <w:tcW w:w="70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61.6%</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59.2%</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61.6%</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58.3%</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bCs/>
                <w:i/>
                <w:color w:val="000000"/>
                <w:sz w:val="18"/>
                <w:szCs w:val="18"/>
                <w:lang w:eastAsia="en-GB"/>
              </w:rPr>
            </w:pPr>
            <w:r w:rsidRPr="007440C5">
              <w:rPr>
                <w:rFonts w:ascii="Calibri" w:eastAsia="Times New Roman" w:hAnsi="Calibri" w:cs="Times New Roman"/>
                <w:b/>
                <w:bCs/>
                <w:i/>
                <w:color w:val="000000"/>
                <w:sz w:val="18"/>
                <w:szCs w:val="18"/>
                <w:lang w:eastAsia="en-GB"/>
              </w:rPr>
              <w:t>60.8%</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i/>
                <w:color w:val="000000"/>
                <w:sz w:val="18"/>
                <w:szCs w:val="18"/>
                <w:lang w:eastAsia="en-GB"/>
              </w:rPr>
            </w:pPr>
            <w:r w:rsidRPr="007440C5">
              <w:rPr>
                <w:rFonts w:ascii="Calibri" w:eastAsia="Times New Roman" w:hAnsi="Calibri" w:cs="Times New Roman"/>
                <w:b/>
                <w:i/>
                <w:color w:val="000000"/>
                <w:sz w:val="18"/>
                <w:szCs w:val="18"/>
                <w:lang w:eastAsia="en-GB"/>
              </w:rPr>
              <w:t>23.1%</w:t>
            </w:r>
          </w:p>
        </w:tc>
        <w:tc>
          <w:tcPr>
            <w:tcW w:w="669" w:type="dxa"/>
            <w:shd w:val="clear" w:color="auto" w:fill="auto"/>
            <w:noWrap/>
            <w:vAlign w:val="center"/>
          </w:tcPr>
          <w:p w:rsidR="007440C5" w:rsidRPr="007440C5" w:rsidRDefault="007440C5" w:rsidP="007440C5">
            <w:pPr>
              <w:spacing w:after="0" w:line="312" w:lineRule="auto"/>
              <w:jc w:val="center"/>
              <w:rPr>
                <w:rFonts w:ascii="Calibri" w:hAnsi="Calibri"/>
                <w:b/>
                <w:color w:val="000000"/>
                <w:sz w:val="18"/>
                <w:szCs w:val="18"/>
              </w:rPr>
            </w:pPr>
            <w:r w:rsidRPr="007440C5">
              <w:rPr>
                <w:rFonts w:ascii="Calibri" w:hAnsi="Calibri"/>
                <w:b/>
                <w:color w:val="000000"/>
                <w:sz w:val="18"/>
                <w:szCs w:val="18"/>
              </w:rPr>
              <w:t>83.3%</w:t>
            </w:r>
          </w:p>
        </w:tc>
        <w:tc>
          <w:tcPr>
            <w:tcW w:w="669"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bCs/>
                <w:i/>
                <w:color w:val="000000"/>
                <w:sz w:val="18"/>
                <w:szCs w:val="18"/>
                <w:lang w:eastAsia="en-GB"/>
              </w:rPr>
            </w:pPr>
            <w:r w:rsidRPr="007440C5">
              <w:rPr>
                <w:rFonts w:ascii="Calibri" w:eastAsia="Times New Roman" w:hAnsi="Calibri" w:cs="Times New Roman"/>
                <w:b/>
                <w:bCs/>
                <w:i/>
                <w:color w:val="000000"/>
                <w:sz w:val="18"/>
                <w:szCs w:val="18"/>
                <w:lang w:eastAsia="en-GB"/>
              </w:rPr>
              <w:t>30.6%</w:t>
            </w:r>
          </w:p>
        </w:tc>
        <w:tc>
          <w:tcPr>
            <w:tcW w:w="756" w:type="dxa"/>
            <w:shd w:val="clear" w:color="auto" w:fill="auto"/>
            <w:noWrap/>
            <w:vAlign w:val="center"/>
          </w:tcPr>
          <w:p w:rsidR="007440C5" w:rsidRPr="007440C5" w:rsidRDefault="007440C5" w:rsidP="007440C5">
            <w:pPr>
              <w:spacing w:after="0" w:line="312" w:lineRule="auto"/>
              <w:jc w:val="center"/>
              <w:rPr>
                <w:rFonts w:ascii="Calibri" w:eastAsia="Times New Roman" w:hAnsi="Calibri" w:cs="Times New Roman"/>
                <w:b/>
                <w:bCs/>
                <w:i/>
                <w:color w:val="000000"/>
                <w:sz w:val="18"/>
                <w:szCs w:val="18"/>
                <w:lang w:eastAsia="en-GB"/>
              </w:rPr>
            </w:pPr>
            <w:r w:rsidRPr="007440C5">
              <w:rPr>
                <w:rFonts w:ascii="Calibri" w:eastAsia="Times New Roman" w:hAnsi="Calibri" w:cs="Times New Roman"/>
                <w:b/>
                <w:bCs/>
                <w:i/>
                <w:color w:val="000000"/>
                <w:sz w:val="18"/>
                <w:szCs w:val="18"/>
                <w:lang w:eastAsia="en-GB"/>
              </w:rPr>
              <w:t>57.6%</w:t>
            </w:r>
          </w:p>
        </w:tc>
      </w:tr>
      <w:tr w:rsidR="007440C5" w:rsidRPr="007440C5" w:rsidTr="00BB288F">
        <w:trPr>
          <w:trHeight w:val="300"/>
        </w:trPr>
        <w:tc>
          <w:tcPr>
            <w:tcW w:w="3010" w:type="dxa"/>
            <w:shd w:val="clear" w:color="auto" w:fill="auto"/>
            <w:noWrap/>
            <w:vAlign w:val="center"/>
            <w:hideMark/>
          </w:tcPr>
          <w:p w:rsidR="007440C5" w:rsidRPr="007440C5" w:rsidRDefault="007440C5" w:rsidP="007440C5">
            <w:pPr>
              <w:spacing w:after="0" w:line="312"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Living abroad</w:t>
            </w:r>
          </w:p>
        </w:tc>
        <w:tc>
          <w:tcPr>
            <w:tcW w:w="70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0.6%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0.4%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0.7%</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0.4%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0.6%</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1.4%</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hAnsi="Calibri"/>
                <w:color w:val="000000"/>
                <w:sz w:val="18"/>
                <w:szCs w:val="18"/>
              </w:rPr>
            </w:pPr>
            <w:r w:rsidRPr="007440C5">
              <w:rPr>
                <w:rFonts w:ascii="Calibri" w:hAnsi="Calibri"/>
                <w:color w:val="000000"/>
                <w:sz w:val="18"/>
                <w:szCs w:val="18"/>
              </w:rPr>
              <w:t>2.1%</w:t>
            </w:r>
          </w:p>
        </w:tc>
        <w:tc>
          <w:tcPr>
            <w:tcW w:w="669"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1.5%</w:t>
            </w:r>
          </w:p>
        </w:tc>
        <w:tc>
          <w:tcPr>
            <w:tcW w:w="756" w:type="dxa"/>
            <w:shd w:val="clear" w:color="auto" w:fill="auto"/>
            <w:noWrap/>
            <w:vAlign w:val="center"/>
            <w:hideMark/>
          </w:tcPr>
          <w:p w:rsidR="007440C5" w:rsidRPr="007440C5" w:rsidRDefault="007440C5" w:rsidP="007440C5">
            <w:pPr>
              <w:spacing w:after="0" w:line="312"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0.7%</w:t>
            </w:r>
          </w:p>
        </w:tc>
      </w:tr>
    </w:tbl>
    <w:p w:rsidR="007440C5" w:rsidRPr="007440C5" w:rsidRDefault="007440C5" w:rsidP="007440C5">
      <w:pPr>
        <w:ind w:firstLine="720"/>
        <w:rPr>
          <w:i/>
          <w:sz w:val="18"/>
        </w:rPr>
      </w:pPr>
      <w:r w:rsidRPr="007440C5">
        <w:rPr>
          <w:i/>
          <w:sz w:val="18"/>
        </w:rPr>
        <w:t>(</w:t>
      </w: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i/>
          <w:sz w:val="18"/>
        </w:rPr>
      </w:pPr>
    </w:p>
    <w:p w:rsidR="007440C5" w:rsidRPr="007440C5" w:rsidRDefault="007440C5" w:rsidP="007440C5">
      <w:pPr>
        <w:ind w:firstLine="720"/>
        <w:rPr>
          <w:sz w:val="18"/>
        </w:rPr>
      </w:pPr>
      <w:r w:rsidRPr="007440C5">
        <w:rPr>
          <w:sz w:val="18"/>
        </w:rPr>
        <w:t>(</w:t>
      </w:r>
      <w:r w:rsidRPr="007440C5">
        <w:rPr>
          <w:i/>
          <w:sz w:val="18"/>
        </w:rPr>
        <w:t>Source: University of Bradford 2014</w:t>
      </w:r>
      <w:r w:rsidRPr="007440C5">
        <w:rPr>
          <w:sz w:val="18"/>
        </w:rPr>
        <w:t>)</w:t>
      </w:r>
    </w:p>
    <w:p w:rsidR="007440C5" w:rsidRPr="007440C5" w:rsidRDefault="007440C5" w:rsidP="007440C5">
      <w:pPr>
        <w:ind w:left="720"/>
      </w:pPr>
      <w:r w:rsidRPr="007440C5">
        <w:t>It shows that</w:t>
      </w:r>
      <w:r w:rsidR="006D6663">
        <w:t>, in all,</w:t>
      </w:r>
      <w:r w:rsidRPr="007440C5">
        <w:t xml:space="preserve"> 61 per cent of students across years of study are likely to undertake their studies while living in their parent</w:t>
      </w:r>
      <w:r w:rsidR="004C7E44">
        <w:t>s’</w:t>
      </w:r>
      <w:r w:rsidRPr="007440C5">
        <w:t xml:space="preserve"> or </w:t>
      </w:r>
      <w:r w:rsidR="004C7E44">
        <w:t xml:space="preserve">their </w:t>
      </w:r>
      <w:r w:rsidRPr="007440C5">
        <w:t xml:space="preserve">own home. A quarter of students are likely to choose to live in </w:t>
      </w:r>
      <w:r w:rsidRPr="007440C5">
        <w:lastRenderedPageBreak/>
        <w:t>PBSA with a consistent level of demand across the years of study. While the proportion of students living in private rented accommodation increased as they entered their second, third or fourth years of study, the proportion overall living in off-street shared housing is very low – around a quarter of the proportion of returning students in Leeds living in such accommodation.</w:t>
      </w:r>
    </w:p>
    <w:p w:rsidR="007440C5" w:rsidRPr="007440C5" w:rsidRDefault="001D1DE3" w:rsidP="001D1DE3">
      <w:pPr>
        <w:numPr>
          <w:ilvl w:val="0"/>
          <w:numId w:val="1"/>
        </w:numPr>
        <w:spacing w:before="120" w:after="0" w:line="312" w:lineRule="auto"/>
        <w:ind w:left="993" w:hanging="273"/>
        <w:contextualSpacing/>
      </w:pPr>
      <w:r>
        <w:t>Sixty</w:t>
      </w:r>
      <w:r w:rsidR="007440C5" w:rsidRPr="007440C5">
        <w:t xml:space="preserve"> per cent of new undergraduate students choose to live in their parent</w:t>
      </w:r>
      <w:r w:rsidR="004C7E44">
        <w:t>s’</w:t>
      </w:r>
      <w:r w:rsidR="007440C5" w:rsidRPr="007440C5">
        <w:t xml:space="preserve"> home or in their own home, (either in or out of Bradford), almost twice as many as chose to live in PBSA in Bradford. Very few new students chose to live in off-street shared or city centre private rented housing</w:t>
      </w:r>
    </w:p>
    <w:p w:rsidR="007440C5" w:rsidRPr="007440C5" w:rsidRDefault="007440C5" w:rsidP="001D1DE3">
      <w:pPr>
        <w:numPr>
          <w:ilvl w:val="0"/>
          <w:numId w:val="1"/>
        </w:numPr>
        <w:spacing w:before="120" w:after="0" w:line="312" w:lineRule="auto"/>
        <w:ind w:left="993" w:hanging="273"/>
        <w:contextualSpacing/>
      </w:pPr>
      <w:r w:rsidRPr="007440C5">
        <w:t>Slightly fewer (57 per cent) Year 2 students remained in their parent</w:t>
      </w:r>
      <w:r w:rsidR="004C7E44">
        <w:t>s’</w:t>
      </w:r>
      <w:r w:rsidRPr="007440C5">
        <w:t xml:space="preserve"> or their own home after their first year, and those that did not were </w:t>
      </w:r>
      <w:r w:rsidRPr="007440C5">
        <w:rPr>
          <w:u w:val="single"/>
        </w:rPr>
        <w:t>as likely</w:t>
      </w:r>
      <w:r w:rsidRPr="007440C5">
        <w:t xml:space="preserve"> to choose to live in PBSA as in private rented housing, either in off-street or city centre tenancies</w:t>
      </w:r>
    </w:p>
    <w:p w:rsidR="007440C5" w:rsidRDefault="001D1DE3" w:rsidP="001D1DE3">
      <w:pPr>
        <w:numPr>
          <w:ilvl w:val="0"/>
          <w:numId w:val="1"/>
        </w:numPr>
        <w:spacing w:before="120" w:after="100" w:afterAutospacing="1" w:line="312" w:lineRule="auto"/>
        <w:ind w:left="993" w:hanging="273"/>
        <w:contextualSpacing/>
      </w:pPr>
      <w:r>
        <w:t>Sixty-one</w:t>
      </w:r>
      <w:r w:rsidR="007440C5" w:rsidRPr="007440C5">
        <w:t xml:space="preserve"> per cent of Year 3 students and 58 per cent of Year 4 </w:t>
      </w:r>
      <w:proofErr w:type="gramStart"/>
      <w:r w:rsidR="007440C5" w:rsidRPr="007440C5">
        <w:t>students,</w:t>
      </w:r>
      <w:proofErr w:type="gramEnd"/>
      <w:r w:rsidR="007440C5" w:rsidRPr="007440C5">
        <w:t xml:space="preserve"> remained in their parent</w:t>
      </w:r>
      <w:r w:rsidR="004C7E44">
        <w:t>s’</w:t>
      </w:r>
      <w:r w:rsidR="007440C5" w:rsidRPr="007440C5">
        <w:t xml:space="preserve"> or </w:t>
      </w:r>
      <w:r w:rsidR="006D6663">
        <w:t xml:space="preserve">their </w:t>
      </w:r>
      <w:r w:rsidR="007440C5" w:rsidRPr="007440C5">
        <w:t xml:space="preserve">own home, and those that did not were also </w:t>
      </w:r>
      <w:r w:rsidR="007440C5" w:rsidRPr="007440C5">
        <w:rPr>
          <w:u w:val="single"/>
        </w:rPr>
        <w:t>more likely</w:t>
      </w:r>
      <w:r w:rsidR="007440C5" w:rsidRPr="007440C5">
        <w:t xml:space="preserve"> to choose t</w:t>
      </w:r>
      <w:r w:rsidR="006D6663">
        <w:t xml:space="preserve">o live in </w:t>
      </w:r>
      <w:r w:rsidR="007440C5" w:rsidRPr="007440C5">
        <w:t xml:space="preserve">PBSA rather than in private rented accommodation. </w:t>
      </w:r>
    </w:p>
    <w:p w:rsidR="001D1DE3" w:rsidRPr="007440C5" w:rsidRDefault="001D1DE3" w:rsidP="001D1DE3">
      <w:pPr>
        <w:spacing w:before="120" w:after="100" w:afterAutospacing="1" w:line="312" w:lineRule="auto"/>
        <w:ind w:left="993"/>
        <w:contextualSpacing/>
      </w:pPr>
    </w:p>
    <w:p w:rsidR="007440C5" w:rsidRPr="007440C5" w:rsidRDefault="007440C5" w:rsidP="001D1DE3">
      <w:pPr>
        <w:tabs>
          <w:tab w:val="left" w:pos="1701"/>
        </w:tabs>
        <w:ind w:firstLine="720"/>
        <w:rPr>
          <w:i/>
        </w:rPr>
      </w:pPr>
      <w:r w:rsidRPr="007440C5">
        <w:rPr>
          <w:i/>
        </w:rPr>
        <w:t>Table 32b: Change in the type of accommodation chosen by students 2009-14</w:t>
      </w:r>
    </w:p>
    <w:tbl>
      <w:tblPr>
        <w:tblW w:w="8505"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02"/>
        <w:gridCol w:w="851"/>
        <w:gridCol w:w="850"/>
        <w:gridCol w:w="851"/>
        <w:gridCol w:w="850"/>
        <w:gridCol w:w="851"/>
        <w:gridCol w:w="850"/>
      </w:tblGrid>
      <w:tr w:rsidR="007440C5" w:rsidRPr="007440C5" w:rsidTr="00BB288F">
        <w:trPr>
          <w:trHeight w:val="570"/>
        </w:trPr>
        <w:tc>
          <w:tcPr>
            <w:tcW w:w="3402" w:type="dxa"/>
            <w:shd w:val="clear" w:color="auto" w:fill="auto"/>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%s are of type of accommodation</w:t>
            </w:r>
          </w:p>
        </w:tc>
        <w:tc>
          <w:tcPr>
            <w:tcW w:w="1701" w:type="dxa"/>
            <w:gridSpan w:val="2"/>
            <w:shd w:val="clear" w:color="auto" w:fill="auto"/>
            <w:hideMark/>
          </w:tcPr>
          <w:p w:rsidR="007440C5" w:rsidRPr="007440C5" w:rsidRDefault="004C7E44" w:rsidP="007440C5">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New s</w:t>
            </w:r>
            <w:r w:rsidR="007440C5" w:rsidRPr="007440C5">
              <w:rPr>
                <w:rFonts w:ascii="Calibri" w:eastAsia="Times New Roman" w:hAnsi="Calibri" w:cs="Times New Roman"/>
                <w:b/>
                <w:bCs/>
                <w:color w:val="000000"/>
                <w:sz w:val="20"/>
                <w:szCs w:val="20"/>
                <w:lang w:eastAsia="en-GB"/>
              </w:rPr>
              <w:t>tudents</w:t>
            </w:r>
          </w:p>
        </w:tc>
        <w:tc>
          <w:tcPr>
            <w:tcW w:w="1701" w:type="dxa"/>
            <w:gridSpan w:val="2"/>
            <w:shd w:val="clear" w:color="auto" w:fill="auto"/>
            <w:hideMark/>
          </w:tcPr>
          <w:p w:rsidR="007440C5" w:rsidRPr="007440C5" w:rsidRDefault="004C7E44" w:rsidP="007440C5">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Returning s</w:t>
            </w:r>
            <w:r w:rsidR="007440C5" w:rsidRPr="007440C5">
              <w:rPr>
                <w:rFonts w:ascii="Calibri" w:eastAsia="Times New Roman" w:hAnsi="Calibri" w:cs="Times New Roman"/>
                <w:b/>
                <w:bCs/>
                <w:color w:val="000000"/>
                <w:sz w:val="20"/>
                <w:szCs w:val="20"/>
                <w:lang w:eastAsia="en-GB"/>
              </w:rPr>
              <w:t>tudents</w:t>
            </w:r>
          </w:p>
        </w:tc>
        <w:tc>
          <w:tcPr>
            <w:tcW w:w="1701" w:type="dxa"/>
            <w:gridSpan w:val="2"/>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Postgraduates</w:t>
            </w:r>
          </w:p>
        </w:tc>
      </w:tr>
      <w:tr w:rsidR="007440C5" w:rsidRPr="007440C5" w:rsidTr="00BB288F">
        <w:trPr>
          <w:trHeight w:val="255"/>
        </w:trPr>
        <w:tc>
          <w:tcPr>
            <w:tcW w:w="340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18"/>
                <w:szCs w:val="18"/>
                <w:lang w:eastAsia="en-GB"/>
              </w:rPr>
            </w:pP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2009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2014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2009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2014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2009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2014</w:t>
            </w:r>
          </w:p>
        </w:tc>
      </w:tr>
      <w:tr w:rsidR="007440C5" w:rsidRPr="007440C5" w:rsidTr="00BB288F">
        <w:trPr>
          <w:trHeight w:val="255"/>
        </w:trPr>
        <w:tc>
          <w:tcPr>
            <w:tcW w:w="340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Private</w:t>
            </w:r>
            <w:r w:rsidR="004C7E44">
              <w:rPr>
                <w:rFonts w:ascii="Calibri" w:eastAsia="Times New Roman" w:hAnsi="Calibri" w:cs="Times New Roman"/>
                <w:color w:val="000000"/>
                <w:sz w:val="18"/>
                <w:szCs w:val="18"/>
                <w:lang w:eastAsia="en-GB"/>
              </w:rPr>
              <w:t xml:space="preserve"> sector h</w:t>
            </w:r>
            <w:r w:rsidRPr="007440C5">
              <w:rPr>
                <w:rFonts w:ascii="Calibri" w:eastAsia="Times New Roman" w:hAnsi="Calibri" w:cs="Times New Roman"/>
                <w:color w:val="000000"/>
                <w:sz w:val="18"/>
                <w:szCs w:val="18"/>
                <w:lang w:eastAsia="en-GB"/>
              </w:rPr>
              <w:t>alls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35.8%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24.3%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44.1%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59.0%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20.1%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16.7%</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University h</w:t>
            </w:r>
            <w:r w:rsidR="007440C5" w:rsidRPr="007440C5">
              <w:rPr>
                <w:rFonts w:ascii="Calibri" w:eastAsia="Times New Roman" w:hAnsi="Calibri" w:cs="Times New Roman"/>
                <w:color w:val="000000"/>
                <w:sz w:val="18"/>
                <w:szCs w:val="18"/>
                <w:lang w:eastAsia="en-GB"/>
              </w:rPr>
              <w:t>alls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70.7%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56.8%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22.0%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21.5%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21.7%</w:t>
            </w:r>
          </w:p>
        </w:tc>
      </w:tr>
      <w:tr w:rsidR="007440C5" w:rsidRPr="007440C5" w:rsidTr="00BB288F">
        <w:trPr>
          <w:trHeight w:val="255"/>
        </w:trPr>
        <w:tc>
          <w:tcPr>
            <w:tcW w:w="340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ALL PBSA</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38.8%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37.0%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42.3%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44.4%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18.6%</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rented (off-s</w:t>
            </w:r>
            <w:r w:rsidR="007440C5" w:rsidRPr="007440C5">
              <w:rPr>
                <w:rFonts w:ascii="Calibri" w:eastAsia="Times New Roman" w:hAnsi="Calibri" w:cs="Times New Roman"/>
                <w:color w:val="000000"/>
                <w:sz w:val="18"/>
                <w:szCs w:val="18"/>
                <w:lang w:eastAsia="en-GB"/>
              </w:rPr>
              <w:t>treet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69.0%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42.6%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23.8%</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rented (off-s</w:t>
            </w:r>
            <w:r w:rsidR="007440C5" w:rsidRPr="007440C5">
              <w:rPr>
                <w:rFonts w:ascii="Calibri" w:eastAsia="Times New Roman" w:hAnsi="Calibri" w:cs="Times New Roman"/>
                <w:color w:val="000000"/>
                <w:sz w:val="18"/>
                <w:szCs w:val="18"/>
                <w:lang w:eastAsia="en-GB"/>
              </w:rPr>
              <w:t>treet out of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27.1%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14.5%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43.0%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72.6%</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12.8%</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rented (Bradford city c</w:t>
            </w:r>
            <w:r w:rsidR="007440C5" w:rsidRPr="007440C5">
              <w:rPr>
                <w:rFonts w:ascii="Calibri" w:eastAsia="Times New Roman" w:hAnsi="Calibri" w:cs="Times New Roman"/>
                <w:color w:val="000000"/>
                <w:sz w:val="18"/>
                <w:szCs w:val="18"/>
                <w:lang w:eastAsia="en-GB"/>
              </w:rPr>
              <w:t>entre)</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17.6%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63.5%</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54.5%</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29.0%</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b/>
                <w:bCs/>
                <w:i/>
                <w:iCs/>
                <w:color w:val="000000"/>
                <w:sz w:val="18"/>
                <w:szCs w:val="18"/>
                <w:lang w:eastAsia="en-GB"/>
              </w:rPr>
            </w:pPr>
            <w:r>
              <w:rPr>
                <w:rFonts w:ascii="Calibri" w:eastAsia="Times New Roman" w:hAnsi="Calibri" w:cs="Times New Roman"/>
                <w:b/>
                <w:bCs/>
                <w:i/>
                <w:iCs/>
                <w:color w:val="000000"/>
                <w:sz w:val="18"/>
                <w:szCs w:val="18"/>
                <w:lang w:eastAsia="en-GB"/>
              </w:rPr>
              <w:t>All private r</w:t>
            </w:r>
            <w:r w:rsidR="007440C5" w:rsidRPr="007440C5">
              <w:rPr>
                <w:rFonts w:ascii="Calibri" w:eastAsia="Times New Roman" w:hAnsi="Calibri" w:cs="Times New Roman"/>
                <w:b/>
                <w:bCs/>
                <w:i/>
                <w:iCs/>
                <w:color w:val="000000"/>
                <w:sz w:val="18"/>
                <w:szCs w:val="18"/>
                <w:lang w:eastAsia="en-GB"/>
              </w:rPr>
              <w:t>ented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67.3%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36.9%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22.4%</w:t>
            </w:r>
          </w:p>
        </w:tc>
      </w:tr>
      <w:tr w:rsidR="007440C5" w:rsidRPr="007440C5" w:rsidTr="00BB288F">
        <w:trPr>
          <w:trHeight w:val="255"/>
        </w:trPr>
        <w:tc>
          <w:tcPr>
            <w:tcW w:w="3402" w:type="dxa"/>
            <w:shd w:val="clear" w:color="auto" w:fill="auto"/>
            <w:noWrap/>
            <w:vAlign w:val="bottom"/>
            <w:hideMark/>
          </w:tcPr>
          <w:p w:rsidR="007440C5" w:rsidRPr="007440C5" w:rsidRDefault="007440C5" w:rsidP="004C7E44">
            <w:pPr>
              <w:spacing w:after="0" w:line="240"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Parent</w:t>
            </w:r>
            <w:r w:rsidR="004C7E44">
              <w:rPr>
                <w:rFonts w:ascii="Calibri" w:eastAsia="Times New Roman" w:hAnsi="Calibri" w:cs="Times New Roman"/>
                <w:color w:val="000000"/>
                <w:sz w:val="18"/>
                <w:szCs w:val="18"/>
                <w:lang w:eastAsia="en-GB"/>
              </w:rPr>
              <w:t>s’ h</w:t>
            </w:r>
            <w:r w:rsidRPr="007440C5">
              <w:rPr>
                <w:rFonts w:ascii="Calibri" w:eastAsia="Times New Roman" w:hAnsi="Calibri" w:cs="Times New Roman"/>
                <w:color w:val="000000"/>
                <w:sz w:val="18"/>
                <w:szCs w:val="18"/>
                <w:lang w:eastAsia="en-GB"/>
              </w:rPr>
              <w:t>ome (in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44.4%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35.9%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51.5%</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60.7%</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3.4%</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Own h</w:t>
            </w:r>
            <w:r w:rsidR="007440C5" w:rsidRPr="007440C5">
              <w:rPr>
                <w:rFonts w:ascii="Calibri" w:eastAsia="Times New Roman" w:hAnsi="Calibri" w:cs="Times New Roman"/>
                <w:color w:val="000000"/>
                <w:sz w:val="18"/>
                <w:szCs w:val="18"/>
                <w:lang w:eastAsia="en-GB"/>
              </w:rPr>
              <w:t>ome (in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58.3%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74.8%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15.1%</w:t>
            </w:r>
          </w:p>
        </w:tc>
      </w:tr>
      <w:tr w:rsidR="007440C5" w:rsidRPr="007440C5" w:rsidTr="00BB288F">
        <w:trPr>
          <w:trHeight w:val="255"/>
        </w:trPr>
        <w:tc>
          <w:tcPr>
            <w:tcW w:w="3402" w:type="dxa"/>
            <w:shd w:val="clear" w:color="auto" w:fill="auto"/>
            <w:noWrap/>
            <w:vAlign w:val="bottom"/>
            <w:hideMark/>
          </w:tcPr>
          <w:p w:rsidR="007440C5" w:rsidRPr="007440C5" w:rsidRDefault="00823130"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Parents’</w:t>
            </w:r>
            <w:r w:rsidR="004C7E44">
              <w:rPr>
                <w:rFonts w:ascii="Calibri" w:eastAsia="Times New Roman" w:hAnsi="Calibri" w:cs="Times New Roman"/>
                <w:color w:val="000000"/>
                <w:sz w:val="18"/>
                <w:szCs w:val="18"/>
                <w:lang w:eastAsia="en-GB"/>
              </w:rPr>
              <w:t xml:space="preserve"> home (o</w:t>
            </w:r>
            <w:r w:rsidR="007440C5" w:rsidRPr="007440C5">
              <w:rPr>
                <w:rFonts w:ascii="Calibri" w:eastAsia="Times New Roman" w:hAnsi="Calibri" w:cs="Times New Roman"/>
                <w:color w:val="000000"/>
                <w:sz w:val="18"/>
                <w:szCs w:val="18"/>
                <w:lang w:eastAsia="en-GB"/>
              </w:rPr>
              <w:t>utside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44.3%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33.4%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50.2%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62.6%</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5.5%</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4.0%</w:t>
            </w:r>
          </w:p>
        </w:tc>
      </w:tr>
      <w:tr w:rsidR="007440C5" w:rsidRPr="007440C5" w:rsidTr="00BB288F">
        <w:trPr>
          <w:trHeight w:val="255"/>
        </w:trPr>
        <w:tc>
          <w:tcPr>
            <w:tcW w:w="3402" w:type="dxa"/>
            <w:shd w:val="clear" w:color="auto" w:fill="auto"/>
            <w:noWrap/>
            <w:vAlign w:val="bottom"/>
            <w:hideMark/>
          </w:tcPr>
          <w:p w:rsidR="007440C5" w:rsidRPr="007440C5" w:rsidRDefault="004C7E44" w:rsidP="007440C5">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Own home (o</w:t>
            </w:r>
            <w:r w:rsidR="007440C5" w:rsidRPr="007440C5">
              <w:rPr>
                <w:rFonts w:ascii="Calibri" w:eastAsia="Times New Roman" w:hAnsi="Calibri" w:cs="Times New Roman"/>
                <w:color w:val="000000"/>
                <w:sz w:val="18"/>
                <w:szCs w:val="18"/>
                <w:lang w:eastAsia="en-GB"/>
              </w:rPr>
              <w:t>utside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39.2%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39.0%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48.7%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50.0%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11.0%</w:t>
            </w:r>
          </w:p>
        </w:tc>
      </w:tr>
      <w:tr w:rsidR="007440C5" w:rsidRPr="007440C5" w:rsidTr="00BB288F">
        <w:trPr>
          <w:trHeight w:val="255"/>
        </w:trPr>
        <w:tc>
          <w:tcPr>
            <w:tcW w:w="3402" w:type="dxa"/>
            <w:shd w:val="clear" w:color="auto" w:fill="auto"/>
            <w:noWrap/>
            <w:vAlign w:val="bottom"/>
            <w:hideMark/>
          </w:tcPr>
          <w:p w:rsidR="007440C5" w:rsidRPr="007440C5" w:rsidRDefault="007440C5" w:rsidP="00823130">
            <w:pPr>
              <w:spacing w:after="0" w:line="240" w:lineRule="auto"/>
              <w:rPr>
                <w:rFonts w:ascii="Calibri" w:eastAsia="Times New Roman" w:hAnsi="Calibri" w:cs="Times New Roman"/>
                <w:b/>
                <w:bCs/>
                <w:i/>
                <w:iCs/>
                <w:color w:val="000000"/>
                <w:sz w:val="18"/>
                <w:szCs w:val="18"/>
                <w:lang w:eastAsia="en-GB"/>
              </w:rPr>
            </w:pPr>
            <w:r w:rsidRPr="007440C5">
              <w:rPr>
                <w:rFonts w:ascii="Calibri" w:eastAsia="Times New Roman" w:hAnsi="Calibri" w:cs="Times New Roman"/>
                <w:b/>
                <w:bCs/>
                <w:i/>
                <w:iCs/>
                <w:color w:val="000000"/>
                <w:sz w:val="18"/>
                <w:szCs w:val="18"/>
                <w:lang w:eastAsia="en-GB"/>
              </w:rPr>
              <w:t>All living in parent</w:t>
            </w:r>
            <w:r w:rsidR="00823130">
              <w:rPr>
                <w:rFonts w:ascii="Calibri" w:eastAsia="Times New Roman" w:hAnsi="Calibri" w:cs="Times New Roman"/>
                <w:b/>
                <w:bCs/>
                <w:i/>
                <w:iCs/>
                <w:color w:val="000000"/>
                <w:sz w:val="18"/>
                <w:szCs w:val="18"/>
                <w:lang w:eastAsia="en-GB"/>
              </w:rPr>
              <w:t>s’</w:t>
            </w:r>
            <w:r w:rsidRPr="007440C5">
              <w:rPr>
                <w:rFonts w:ascii="Calibri" w:eastAsia="Times New Roman" w:hAnsi="Calibri" w:cs="Times New Roman"/>
                <w:b/>
                <w:bCs/>
                <w:i/>
                <w:iCs/>
                <w:color w:val="000000"/>
                <w:sz w:val="18"/>
                <w:szCs w:val="18"/>
                <w:lang w:eastAsia="en-GB"/>
              </w:rPr>
              <w:t xml:space="preserve"> or own home</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40.6%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32.1%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51.9%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61.4%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7.5%</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6.4%</w:t>
            </w:r>
          </w:p>
        </w:tc>
      </w:tr>
      <w:tr w:rsidR="007440C5" w:rsidRPr="007440C5" w:rsidTr="00BB288F">
        <w:trPr>
          <w:trHeight w:val="255"/>
        </w:trPr>
        <w:tc>
          <w:tcPr>
            <w:tcW w:w="3402"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Living</w:t>
            </w:r>
            <w:r w:rsidR="004C7E44">
              <w:rPr>
                <w:rFonts w:ascii="Calibri" w:eastAsia="Times New Roman" w:hAnsi="Calibri" w:cs="Times New Roman"/>
                <w:color w:val="000000"/>
                <w:sz w:val="18"/>
                <w:szCs w:val="18"/>
                <w:lang w:eastAsia="en-GB"/>
              </w:rPr>
              <w:t xml:space="preserve"> a</w:t>
            </w:r>
            <w:r w:rsidRPr="007440C5">
              <w:rPr>
                <w:rFonts w:ascii="Calibri" w:eastAsia="Times New Roman" w:hAnsi="Calibri" w:cs="Times New Roman"/>
                <w:color w:val="000000"/>
                <w:sz w:val="18"/>
                <w:szCs w:val="18"/>
                <w:lang w:eastAsia="en-GB"/>
              </w:rPr>
              <w:t>broad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5.9%</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26.0%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47.9%</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77.7%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26.0%</w:t>
            </w:r>
          </w:p>
        </w:tc>
      </w:tr>
    </w:tbl>
    <w:p w:rsidR="007440C5" w:rsidRPr="007440C5" w:rsidRDefault="007440C5" w:rsidP="007440C5">
      <w:pPr>
        <w:ind w:firstLine="720"/>
        <w:rPr>
          <w:sz w:val="18"/>
        </w:rPr>
      </w:pPr>
      <w:r w:rsidRPr="007440C5">
        <w:rPr>
          <w:i/>
          <w:sz w:val="18"/>
        </w:rPr>
        <w:t xml:space="preserve"> </w:t>
      </w:r>
      <w:r w:rsidRPr="007440C5">
        <w:rPr>
          <w:sz w:val="18"/>
        </w:rPr>
        <w:t>(</w:t>
      </w:r>
      <w:r w:rsidRPr="007440C5">
        <w:rPr>
          <w:i/>
          <w:sz w:val="18"/>
        </w:rPr>
        <w:t>Source:  University of Bradford 2014</w:t>
      </w:r>
      <w:r w:rsidRPr="007440C5">
        <w:rPr>
          <w:sz w:val="18"/>
        </w:rPr>
        <w:t>)</w:t>
      </w:r>
    </w:p>
    <w:p w:rsidR="007440C5" w:rsidRPr="007440C5" w:rsidRDefault="007440C5" w:rsidP="007440C5">
      <w:pPr>
        <w:ind w:left="720"/>
      </w:pPr>
      <w:r w:rsidRPr="007440C5">
        <w:t>Table 32b shows the proportions of new, returning and postgraduate students living in each type of accommodation in 2014 compared to 2009. It shows that:</w:t>
      </w:r>
    </w:p>
    <w:p w:rsidR="007440C5" w:rsidRPr="007440C5" w:rsidRDefault="007440C5" w:rsidP="001D1DE3">
      <w:pPr>
        <w:numPr>
          <w:ilvl w:val="0"/>
          <w:numId w:val="3"/>
        </w:numPr>
        <w:ind w:left="993" w:hanging="273"/>
      </w:pPr>
      <w:proofErr w:type="gramStart"/>
      <w:r w:rsidRPr="007440C5">
        <w:t>the</w:t>
      </w:r>
      <w:proofErr w:type="gramEnd"/>
      <w:r w:rsidRPr="007440C5">
        <w:t xml:space="preserve"> proportion of new students living in PBSA has increased from a quarter to a third.  However</w:t>
      </w:r>
      <w:r w:rsidR="006D6663">
        <w:t>,</w:t>
      </w:r>
      <w:r w:rsidRPr="007440C5">
        <w:t xml:space="preserve"> the proportion of new students living in private sector halls has reduced substantially from 22 to 13 per cent</w:t>
      </w:r>
      <w:r w:rsidR="006D6663">
        <w:t>,</w:t>
      </w:r>
      <w:r w:rsidRPr="007440C5">
        <w:t xml:space="preserve"> but the proportion living in University run accommodation has increased from four to 19 per cent, reflecting the impact of the opening of The Green Student Village. The proportion living in off-street rented housing has reduced by almost half, but from a very low base</w:t>
      </w:r>
    </w:p>
    <w:p w:rsidR="007440C5" w:rsidRPr="007440C5" w:rsidRDefault="007440C5" w:rsidP="001D1DE3">
      <w:pPr>
        <w:numPr>
          <w:ilvl w:val="0"/>
          <w:numId w:val="3"/>
        </w:numPr>
        <w:spacing w:before="120" w:after="0"/>
        <w:ind w:left="993" w:hanging="273"/>
      </w:pPr>
      <w:proofErr w:type="gramStart"/>
      <w:r w:rsidRPr="007440C5">
        <w:t>the</w:t>
      </w:r>
      <w:proofErr w:type="gramEnd"/>
      <w:r w:rsidRPr="007440C5">
        <w:t xml:space="preserve"> proportion of returning students living in private halls has stayed the same but the proportion living in private halls has also reduced from 19 to 16 per cent and the proportion living in University run accommodation has increased from 0.9 to 3.7 per cent.  The proportion living in </w:t>
      </w:r>
      <w:r w:rsidRPr="007440C5">
        <w:lastRenderedPageBreak/>
        <w:t>private rented housing has reduced slightly.  The proportion of returning students living outside Bradford has increased substantially from 14 to 21 per cent</w:t>
      </w:r>
    </w:p>
    <w:p w:rsidR="007440C5" w:rsidRPr="007440C5" w:rsidRDefault="007440C5" w:rsidP="007440C5">
      <w:pPr>
        <w:numPr>
          <w:ilvl w:val="0"/>
          <w:numId w:val="3"/>
        </w:numPr>
        <w:spacing w:before="120" w:after="0" w:afterAutospacing="1"/>
        <w:ind w:left="1077" w:hanging="273"/>
      </w:pPr>
      <w:proofErr w:type="gramStart"/>
      <w:r w:rsidRPr="007440C5">
        <w:t>the</w:t>
      </w:r>
      <w:proofErr w:type="gramEnd"/>
      <w:r w:rsidRPr="007440C5">
        <w:t xml:space="preserve"> proportion of postgraduate students living in PBSA has increased substantially from 24 to 39 per cent with a</w:t>
      </w:r>
      <w:r w:rsidR="006D6663">
        <w:t xml:space="preserve"> corresponding</w:t>
      </w:r>
      <w:r w:rsidRPr="007440C5">
        <w:t xml:space="preserve"> reduction in the proportion living in off-street private rented housing from 44 to 30 per cent. The proportion of postgraduates living at their parent</w:t>
      </w:r>
      <w:r w:rsidR="00823130">
        <w:t>s’</w:t>
      </w:r>
      <w:r w:rsidRPr="007440C5">
        <w:t xml:space="preserve"> home or in the</w:t>
      </w:r>
      <w:r w:rsidR="006D6663">
        <w:t>ir</w:t>
      </w:r>
      <w:r w:rsidRPr="007440C5">
        <w:t xml:space="preserve"> own home also increased from 22 to 30 per cent.</w:t>
      </w:r>
    </w:p>
    <w:p w:rsidR="007440C5" w:rsidRPr="007440C5" w:rsidRDefault="007440C5" w:rsidP="001D1DE3">
      <w:pPr>
        <w:tabs>
          <w:tab w:val="left" w:pos="1701"/>
        </w:tabs>
        <w:ind w:left="720"/>
        <w:rPr>
          <w:i/>
        </w:rPr>
      </w:pPr>
      <w:r w:rsidRPr="007440C5">
        <w:rPr>
          <w:i/>
        </w:rPr>
        <w:t xml:space="preserve">Table 33: </w:t>
      </w:r>
      <w:r w:rsidR="001D1DE3">
        <w:rPr>
          <w:i/>
        </w:rPr>
        <w:tab/>
      </w:r>
      <w:r w:rsidRPr="007440C5">
        <w:rPr>
          <w:i/>
        </w:rPr>
        <w:t>Type of accommodation chosen by different types of student in Bradford and Nottingham</w:t>
      </w:r>
    </w:p>
    <w:tbl>
      <w:tblPr>
        <w:tblW w:w="8505" w:type="dxa"/>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5"/>
        <w:gridCol w:w="1418"/>
        <w:gridCol w:w="1417"/>
        <w:gridCol w:w="1418"/>
        <w:gridCol w:w="1417"/>
      </w:tblGrid>
      <w:tr w:rsidR="007440C5" w:rsidRPr="007440C5" w:rsidTr="00BB288F">
        <w:trPr>
          <w:trHeight w:val="510"/>
        </w:trPr>
        <w:tc>
          <w:tcPr>
            <w:tcW w:w="2835" w:type="dxa"/>
            <w:shd w:val="clear" w:color="auto" w:fill="auto"/>
            <w:noWrap/>
            <w:vAlign w:val="bottom"/>
            <w:hideMark/>
          </w:tcPr>
          <w:p w:rsidR="007440C5" w:rsidRPr="007440C5" w:rsidRDefault="007440C5" w:rsidP="007440C5">
            <w:pPr>
              <w:rPr>
                <w:rFonts w:ascii="Calibri" w:eastAsia="Times New Roman" w:hAnsi="Calibri" w:cs="Times New Roman"/>
                <w:i/>
                <w:color w:val="000000"/>
                <w:sz w:val="18"/>
                <w:szCs w:val="16"/>
                <w:lang w:eastAsia="en-GB"/>
              </w:rPr>
            </w:pPr>
            <w:r w:rsidRPr="007440C5">
              <w:rPr>
                <w:rFonts w:ascii="Calibri" w:eastAsia="Times New Roman" w:hAnsi="Calibri" w:cs="Times New Roman"/>
                <w:i/>
                <w:color w:val="000000"/>
                <w:sz w:val="18"/>
                <w:szCs w:val="16"/>
                <w:lang w:eastAsia="en-GB"/>
              </w:rPr>
              <w:t>%s of types of student</w:t>
            </w:r>
          </w:p>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8"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 xml:space="preserve">New </w:t>
            </w:r>
          </w:p>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students</w:t>
            </w:r>
          </w:p>
        </w:tc>
        <w:tc>
          <w:tcPr>
            <w:tcW w:w="1417"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Returning students</w:t>
            </w:r>
          </w:p>
        </w:tc>
        <w:tc>
          <w:tcPr>
            <w:tcW w:w="1418"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Postgraduates</w:t>
            </w:r>
          </w:p>
        </w:tc>
        <w:tc>
          <w:tcPr>
            <w:tcW w:w="1417"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 xml:space="preserve">ALL </w:t>
            </w:r>
          </w:p>
          <w:p w:rsidR="007440C5" w:rsidRPr="007440C5" w:rsidRDefault="007440C5" w:rsidP="007440C5">
            <w:pPr>
              <w:spacing w:after="0" w:line="240" w:lineRule="auto"/>
              <w:jc w:val="center"/>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students</w:t>
            </w:r>
          </w:p>
        </w:tc>
      </w:tr>
      <w:tr w:rsidR="007440C5" w:rsidRPr="007440C5" w:rsidTr="00BB288F">
        <w:trPr>
          <w:trHeight w:val="255"/>
        </w:trPr>
        <w:tc>
          <w:tcPr>
            <w:tcW w:w="2835" w:type="dxa"/>
            <w:shd w:val="clear" w:color="auto" w:fill="auto"/>
            <w:hideMark/>
          </w:tcPr>
          <w:p w:rsidR="007440C5" w:rsidRPr="007440C5" w:rsidRDefault="007440C5" w:rsidP="007440C5">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PBSA</w:t>
            </w:r>
          </w:p>
        </w:tc>
        <w:tc>
          <w:tcPr>
            <w:tcW w:w="1418" w:type="dxa"/>
            <w:shd w:val="clear" w:color="auto" w:fill="auto"/>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8" w:type="dxa"/>
            <w:shd w:val="clear" w:color="auto" w:fill="auto"/>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32.2%</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19.9%</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39.1%</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25.9%</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Nottingham</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74.7%</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11.0%</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8.9%</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27.8%</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 xml:space="preserve">Off-street shared rented </w:t>
            </w:r>
          </w:p>
        </w:tc>
        <w:tc>
          <w:tcPr>
            <w:tcW w:w="1418"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8"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2.4%</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12.1%</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19.6%</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10.1%</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Nottingham</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11.5%</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60.0%</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45.7%</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45.4%</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 xml:space="preserve">City centre rented </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1.5%</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2.6%</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6.5%</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2.8%</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Nottingham</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2.3%</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9.7%</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8.4%</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7.6%</w:t>
            </w:r>
          </w:p>
        </w:tc>
      </w:tr>
      <w:tr w:rsidR="007440C5" w:rsidRPr="007440C5" w:rsidTr="00BB288F">
        <w:trPr>
          <w:trHeight w:val="255"/>
        </w:trPr>
        <w:tc>
          <w:tcPr>
            <w:tcW w:w="2835" w:type="dxa"/>
            <w:shd w:val="clear" w:color="auto" w:fill="auto"/>
            <w:hideMark/>
          </w:tcPr>
          <w:p w:rsidR="007440C5" w:rsidRPr="007440C5" w:rsidRDefault="007440C5" w:rsidP="00823130">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Own/parent</w:t>
            </w:r>
            <w:r w:rsidR="00823130">
              <w:rPr>
                <w:rFonts w:ascii="Calibri" w:eastAsia="Times New Roman" w:hAnsi="Calibri" w:cs="Times New Roman"/>
                <w:b/>
                <w:bCs/>
                <w:color w:val="000000"/>
                <w:sz w:val="20"/>
                <w:szCs w:val="20"/>
                <w:lang w:eastAsia="en-GB"/>
              </w:rPr>
              <w:t>s’</w:t>
            </w:r>
            <w:r w:rsidRPr="007440C5">
              <w:rPr>
                <w:rFonts w:ascii="Calibri" w:eastAsia="Times New Roman" w:hAnsi="Calibri" w:cs="Times New Roman"/>
                <w:b/>
                <w:bCs/>
                <w:color w:val="000000"/>
                <w:sz w:val="20"/>
                <w:szCs w:val="20"/>
                <w:lang w:eastAsia="en-GB"/>
              </w:rPr>
              <w:t xml:space="preserve"> home</w:t>
            </w:r>
          </w:p>
        </w:tc>
        <w:tc>
          <w:tcPr>
            <w:tcW w:w="1418"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8"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27.2%</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29.9%</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16.3%</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28.8%</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Nottingham</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4.0%</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6.8%</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10.7%</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6.5%</w:t>
            </w:r>
          </w:p>
        </w:tc>
      </w:tr>
      <w:tr w:rsidR="007440C5" w:rsidRPr="007440C5" w:rsidTr="00BB288F">
        <w:trPr>
          <w:trHeight w:val="255"/>
        </w:trPr>
        <w:tc>
          <w:tcPr>
            <w:tcW w:w="2835" w:type="dxa"/>
            <w:shd w:val="clear" w:color="auto" w:fill="auto"/>
            <w:hideMark/>
          </w:tcPr>
          <w:p w:rsidR="007440C5" w:rsidRPr="007440C5" w:rsidRDefault="007440C5" w:rsidP="007440C5">
            <w:pPr>
              <w:spacing w:after="0" w:line="240" w:lineRule="auto"/>
              <w:rPr>
                <w:rFonts w:ascii="Calibri" w:eastAsia="Times New Roman" w:hAnsi="Calibri" w:cs="Times New Roman"/>
                <w:b/>
                <w:bCs/>
                <w:color w:val="000000"/>
                <w:sz w:val="20"/>
                <w:szCs w:val="20"/>
                <w:lang w:eastAsia="en-GB"/>
              </w:rPr>
            </w:pPr>
            <w:r w:rsidRPr="007440C5">
              <w:rPr>
                <w:rFonts w:ascii="Calibri" w:eastAsia="Times New Roman" w:hAnsi="Calibri" w:cs="Times New Roman"/>
                <w:b/>
                <w:bCs/>
                <w:color w:val="000000"/>
                <w:sz w:val="20"/>
                <w:szCs w:val="20"/>
                <w:lang w:eastAsia="en-GB"/>
              </w:rPr>
              <w:t>Living outside the city of study</w:t>
            </w:r>
          </w:p>
        </w:tc>
        <w:tc>
          <w:tcPr>
            <w:tcW w:w="1418" w:type="dxa"/>
            <w:shd w:val="clear" w:color="auto" w:fill="auto"/>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8"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c>
          <w:tcPr>
            <w:tcW w:w="1417"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Bradford</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35.0%</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35.5%</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18.3%</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29.7%</w:t>
            </w:r>
          </w:p>
        </w:tc>
      </w:tr>
      <w:tr w:rsidR="007440C5" w:rsidRPr="007440C5" w:rsidTr="00BB288F">
        <w:trPr>
          <w:trHeight w:val="255"/>
        </w:trPr>
        <w:tc>
          <w:tcPr>
            <w:tcW w:w="2835"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Nottingham</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7.5%</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12.4%</w:t>
            </w:r>
          </w:p>
        </w:tc>
        <w:tc>
          <w:tcPr>
            <w:tcW w:w="1418"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26.3%</w:t>
            </w:r>
          </w:p>
        </w:tc>
        <w:tc>
          <w:tcPr>
            <w:tcW w:w="1417"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szCs w:val="20"/>
                <w:lang w:eastAsia="en-GB"/>
              </w:rPr>
            </w:pPr>
            <w:r w:rsidRPr="007440C5">
              <w:rPr>
                <w:rFonts w:ascii="Calibri" w:eastAsia="Times New Roman" w:hAnsi="Calibri" w:cs="Times New Roman"/>
                <w:color w:val="000000"/>
                <w:sz w:val="20"/>
                <w:szCs w:val="20"/>
                <w:lang w:eastAsia="en-GB"/>
              </w:rPr>
              <w:t>12.7%</w:t>
            </w:r>
          </w:p>
        </w:tc>
      </w:tr>
    </w:tbl>
    <w:p w:rsidR="007440C5" w:rsidRPr="007440C5" w:rsidRDefault="007440C5" w:rsidP="007440C5">
      <w:pPr>
        <w:ind w:firstLine="720"/>
        <w:rPr>
          <w:rFonts w:ascii="Calibri" w:eastAsia="Times New Roman" w:hAnsi="Calibri" w:cs="Times New Roman"/>
          <w:color w:val="000000"/>
          <w:sz w:val="18"/>
          <w:szCs w:val="16"/>
          <w:lang w:eastAsia="en-GB"/>
        </w:rPr>
      </w:pPr>
      <w:r w:rsidRPr="007440C5">
        <w:rPr>
          <w:rFonts w:ascii="Calibri" w:eastAsia="Times New Roman" w:hAnsi="Calibri" w:cs="Times New Roman"/>
          <w:color w:val="000000"/>
          <w:sz w:val="18"/>
          <w:szCs w:val="16"/>
          <w:lang w:eastAsia="en-GB"/>
        </w:rPr>
        <w:t>(</w:t>
      </w:r>
      <w:r w:rsidRPr="007440C5">
        <w:rPr>
          <w:rFonts w:ascii="Calibri" w:eastAsia="Times New Roman" w:hAnsi="Calibri" w:cs="Times New Roman"/>
          <w:i/>
          <w:color w:val="000000"/>
          <w:sz w:val="18"/>
          <w:szCs w:val="16"/>
          <w:lang w:eastAsia="en-GB"/>
        </w:rPr>
        <w:t>Source:  University of Bradford 2014 and Unipol 2013</w:t>
      </w:r>
      <w:r w:rsidRPr="007440C5">
        <w:rPr>
          <w:rFonts w:ascii="Calibri" w:eastAsia="Times New Roman" w:hAnsi="Calibri" w:cs="Times New Roman"/>
          <w:color w:val="000000"/>
          <w:sz w:val="18"/>
          <w:szCs w:val="16"/>
          <w:lang w:eastAsia="en-GB"/>
        </w:rPr>
        <w:t>)</w:t>
      </w:r>
    </w:p>
    <w:p w:rsidR="007440C5" w:rsidRPr="007440C5" w:rsidRDefault="007440C5" w:rsidP="007440C5">
      <w:pPr>
        <w:ind w:left="720"/>
      </w:pPr>
      <w:r w:rsidRPr="007440C5">
        <w:t>Table 33 and Graph 12 show the very different composition of the University of Bradford’s student population from other university cities, such as Nottingham.  Research by Unipol in 2013 established that:</w:t>
      </w:r>
    </w:p>
    <w:p w:rsidR="007440C5" w:rsidRPr="007440C5" w:rsidRDefault="007440C5" w:rsidP="001D1DE3">
      <w:pPr>
        <w:numPr>
          <w:ilvl w:val="0"/>
          <w:numId w:val="6"/>
        </w:numPr>
        <w:ind w:left="993" w:hanging="273"/>
        <w:contextualSpacing/>
      </w:pPr>
      <w:r w:rsidRPr="007440C5">
        <w:t>the vast majority of new students live in PBSA, and most move out after their first year</w:t>
      </w:r>
    </w:p>
    <w:p w:rsidR="007440C5" w:rsidRPr="007440C5" w:rsidRDefault="007440C5" w:rsidP="001D1DE3">
      <w:pPr>
        <w:numPr>
          <w:ilvl w:val="0"/>
          <w:numId w:val="6"/>
        </w:numPr>
        <w:ind w:left="993" w:hanging="273"/>
        <w:contextualSpacing/>
      </w:pPr>
      <w:r w:rsidRPr="007440C5">
        <w:t>the vast majority of returning students and the majority of postgraduates live in off-street or city centre located rented housing, mostly shared</w:t>
      </w:r>
    </w:p>
    <w:p w:rsidR="007440C5" w:rsidRPr="007440C5" w:rsidRDefault="007440C5" w:rsidP="001D1DE3">
      <w:pPr>
        <w:numPr>
          <w:ilvl w:val="0"/>
          <w:numId w:val="6"/>
        </w:numPr>
        <w:ind w:left="993" w:hanging="273"/>
        <w:contextualSpacing/>
      </w:pPr>
      <w:r w:rsidRPr="007440C5">
        <w:t>very few students study from their own or their parent</w:t>
      </w:r>
      <w:r w:rsidR="00823130">
        <w:t>s’</w:t>
      </w:r>
      <w:r w:rsidRPr="007440C5">
        <w:t xml:space="preserve"> home</w:t>
      </w:r>
    </w:p>
    <w:p w:rsidR="006D6663" w:rsidRDefault="007440C5" w:rsidP="001D1DE3">
      <w:pPr>
        <w:numPr>
          <w:ilvl w:val="0"/>
          <w:numId w:val="6"/>
        </w:numPr>
        <w:ind w:left="993" w:hanging="273"/>
        <w:contextualSpacing/>
      </w:pPr>
      <w:proofErr w:type="gramStart"/>
      <w:r w:rsidRPr="007440C5">
        <w:t>relatively</w:t>
      </w:r>
      <w:proofErr w:type="gramEnd"/>
      <w:r w:rsidRPr="007440C5">
        <w:t xml:space="preserve"> few students (excepting postgraduates) live outside Nottingham during their studies.</w:t>
      </w:r>
    </w:p>
    <w:p w:rsidR="006D6663" w:rsidRDefault="006D6663" w:rsidP="006D6663">
      <w:pPr>
        <w:ind w:left="1080"/>
        <w:contextualSpacing/>
      </w:pPr>
    </w:p>
    <w:p w:rsidR="007440C5" w:rsidRDefault="007440C5" w:rsidP="006D6663">
      <w:pPr>
        <w:ind w:left="1080" w:hanging="371"/>
        <w:contextualSpacing/>
      </w:pPr>
      <w:r w:rsidRPr="007440C5">
        <w:t xml:space="preserve">This is in stark contrast to Bradford, where: </w:t>
      </w:r>
    </w:p>
    <w:p w:rsidR="006D6663" w:rsidRPr="007440C5" w:rsidRDefault="006D6663" w:rsidP="006D6663">
      <w:pPr>
        <w:ind w:left="1080" w:hanging="371"/>
        <w:contextualSpacing/>
      </w:pPr>
    </w:p>
    <w:p w:rsidR="007440C5" w:rsidRPr="007440C5" w:rsidRDefault="007440C5" w:rsidP="001D1DE3">
      <w:pPr>
        <w:numPr>
          <w:ilvl w:val="0"/>
          <w:numId w:val="30"/>
        </w:numPr>
        <w:spacing w:before="120" w:after="0"/>
        <w:ind w:left="993" w:hanging="273"/>
        <w:contextualSpacing/>
      </w:pPr>
      <w:r w:rsidRPr="007440C5">
        <w:t>only a third of new students live in PBSA, but a significant proportion clearly stay in PBSA for Years 2, 3 and 4</w:t>
      </w:r>
    </w:p>
    <w:p w:rsidR="007440C5" w:rsidRPr="007440C5" w:rsidRDefault="007440C5" w:rsidP="001D1DE3">
      <w:pPr>
        <w:numPr>
          <w:ilvl w:val="0"/>
          <w:numId w:val="30"/>
        </w:numPr>
        <w:spacing w:before="120" w:after="0"/>
        <w:ind w:left="993" w:hanging="273"/>
        <w:contextualSpacing/>
      </w:pPr>
      <w:r w:rsidRPr="007440C5">
        <w:t>a relatively small proportion of students across the years of study live in off-street or city centre rented housing</w:t>
      </w:r>
    </w:p>
    <w:p w:rsidR="007440C5" w:rsidRPr="007440C5" w:rsidRDefault="007440C5" w:rsidP="001D1DE3">
      <w:pPr>
        <w:numPr>
          <w:ilvl w:val="0"/>
          <w:numId w:val="30"/>
        </w:numPr>
        <w:spacing w:before="120" w:after="0"/>
        <w:ind w:left="993" w:hanging="273"/>
        <w:contextualSpacing/>
      </w:pPr>
      <w:r w:rsidRPr="007440C5">
        <w:t>a relatively large proportion live in their own or their parent</w:t>
      </w:r>
      <w:r w:rsidR="00823130">
        <w:t>s’</w:t>
      </w:r>
      <w:r w:rsidRPr="007440C5">
        <w:t xml:space="preserve"> home while studying</w:t>
      </w:r>
    </w:p>
    <w:p w:rsidR="007440C5" w:rsidRPr="007440C5" w:rsidRDefault="007440C5" w:rsidP="001D1DE3">
      <w:pPr>
        <w:numPr>
          <w:ilvl w:val="0"/>
          <w:numId w:val="30"/>
        </w:numPr>
        <w:spacing w:before="120" w:after="0"/>
        <w:ind w:left="993" w:hanging="273"/>
        <w:contextualSpacing/>
      </w:pPr>
      <w:proofErr w:type="gramStart"/>
      <w:r w:rsidRPr="007440C5">
        <w:t>a</w:t>
      </w:r>
      <w:proofErr w:type="gramEnd"/>
      <w:r w:rsidRPr="007440C5">
        <w:t xml:space="preserve"> relatively large proportion live outside Bradford but commute in to study.</w:t>
      </w:r>
    </w:p>
    <w:p w:rsidR="004B3890" w:rsidRDefault="004B3890" w:rsidP="007440C5">
      <w:pPr>
        <w:ind w:left="720"/>
        <w:rPr>
          <w:rFonts w:ascii="Calibri" w:eastAsia="Times New Roman" w:hAnsi="Calibri" w:cs="Times New Roman"/>
          <w:i/>
          <w:color w:val="000000"/>
          <w:szCs w:val="16"/>
          <w:lang w:eastAsia="en-GB"/>
        </w:rPr>
      </w:pPr>
    </w:p>
    <w:p w:rsidR="004B3890" w:rsidRDefault="004B3890">
      <w:pPr>
        <w:rPr>
          <w:rFonts w:ascii="Calibri" w:eastAsia="Times New Roman" w:hAnsi="Calibri" w:cs="Times New Roman"/>
          <w:i/>
          <w:color w:val="000000"/>
          <w:szCs w:val="16"/>
          <w:lang w:eastAsia="en-GB"/>
        </w:rPr>
      </w:pPr>
      <w:r>
        <w:rPr>
          <w:rFonts w:ascii="Calibri" w:eastAsia="Times New Roman" w:hAnsi="Calibri" w:cs="Times New Roman"/>
          <w:i/>
          <w:color w:val="000000"/>
          <w:szCs w:val="16"/>
          <w:lang w:eastAsia="en-GB"/>
        </w:rPr>
        <w:br w:type="page"/>
      </w:r>
    </w:p>
    <w:p w:rsidR="007440C5" w:rsidRPr="007440C5" w:rsidRDefault="007440C5" w:rsidP="001D1DE3">
      <w:pPr>
        <w:tabs>
          <w:tab w:val="left" w:pos="1701"/>
        </w:tabs>
        <w:ind w:left="720"/>
        <w:rPr>
          <w:i/>
          <w:sz w:val="24"/>
        </w:rPr>
      </w:pPr>
      <w:r w:rsidRPr="007440C5">
        <w:rPr>
          <w:rFonts w:ascii="Calibri" w:eastAsia="Times New Roman" w:hAnsi="Calibri" w:cs="Times New Roman"/>
          <w:i/>
          <w:color w:val="000000"/>
          <w:szCs w:val="16"/>
          <w:lang w:eastAsia="en-GB"/>
        </w:rPr>
        <w:lastRenderedPageBreak/>
        <w:t xml:space="preserve">Graph 12: </w:t>
      </w:r>
      <w:r w:rsidR="001D1DE3">
        <w:rPr>
          <w:rFonts w:ascii="Calibri" w:eastAsia="Times New Roman" w:hAnsi="Calibri" w:cs="Times New Roman"/>
          <w:i/>
          <w:color w:val="000000"/>
          <w:szCs w:val="16"/>
          <w:lang w:eastAsia="en-GB"/>
        </w:rPr>
        <w:tab/>
      </w:r>
      <w:r w:rsidRPr="007440C5">
        <w:rPr>
          <w:i/>
        </w:rPr>
        <w:t>Type of accommodation chosen by different types of student in Bradford and Nottingham</w:t>
      </w:r>
    </w:p>
    <w:p w:rsidR="007440C5" w:rsidRPr="007440C5" w:rsidRDefault="007440C5" w:rsidP="007440C5">
      <w:pPr>
        <w:ind w:left="720"/>
      </w:pPr>
      <w:r w:rsidRPr="007440C5">
        <w:rPr>
          <w:noProof/>
          <w:lang w:eastAsia="en-GB"/>
        </w:rPr>
        <w:drawing>
          <wp:inline distT="0" distB="0" distL="0" distR="0" wp14:anchorId="62E30984" wp14:editId="3AF10870">
            <wp:extent cx="4871923" cy="1719072"/>
            <wp:effectExtent l="0" t="0" r="2413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440C5">
        <w:rPr>
          <w:noProof/>
          <w:lang w:eastAsia="en-GB"/>
        </w:rPr>
        <w:drawing>
          <wp:inline distT="0" distB="0" distL="0" distR="0" wp14:anchorId="4BDD715A" wp14:editId="09525A2C">
            <wp:extent cx="4867275" cy="1724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40C5" w:rsidRPr="007440C5" w:rsidRDefault="007440C5" w:rsidP="007440C5">
      <w:pPr>
        <w:rPr>
          <w:b/>
        </w:rPr>
      </w:pPr>
      <w:r w:rsidRPr="001D1DE3">
        <w:t>4.1.6</w:t>
      </w:r>
      <w:r w:rsidRPr="007440C5">
        <w:tab/>
      </w:r>
      <w:r w:rsidRPr="001D1DE3">
        <w:rPr>
          <w:i/>
        </w:rPr>
        <w:t>Residential location of Bradford College students</w:t>
      </w:r>
    </w:p>
    <w:p w:rsidR="007440C5" w:rsidRPr="007440C5" w:rsidRDefault="001D1DE3" w:rsidP="007440C5">
      <w:pPr>
        <w:ind w:left="720"/>
      </w:pPr>
      <w:r>
        <w:t>D</w:t>
      </w:r>
      <w:r w:rsidR="007440C5" w:rsidRPr="007440C5">
        <w:t xml:space="preserve">ata received from Bradford College shows that there are 3,368 </w:t>
      </w:r>
      <w:r w:rsidR="00F31774">
        <w:t xml:space="preserve">higher education </w:t>
      </w:r>
      <w:r w:rsidR="007440C5" w:rsidRPr="007440C5">
        <w:t>students</w:t>
      </w:r>
      <w:r w:rsidR="007440C5" w:rsidRPr="007440C5">
        <w:rPr>
          <w:color w:val="FF0000"/>
        </w:rPr>
        <w:t xml:space="preserve"> </w:t>
      </w:r>
      <w:r w:rsidR="007440C5" w:rsidRPr="007440C5">
        <w:t>currently studying at Bradford College</w:t>
      </w:r>
      <w:r w:rsidR="00F31774">
        <w:t>,</w:t>
      </w:r>
      <w:r w:rsidR="007440C5" w:rsidRPr="007440C5">
        <w:t xml:space="preserve"> compared to 3,456 students in 2009, a reduction of 90 or 2.6 per cent.</w:t>
      </w:r>
      <w:bookmarkStart w:id="0" w:name="_GoBack"/>
      <w:bookmarkEnd w:id="0"/>
    </w:p>
    <w:p w:rsidR="007440C5" w:rsidRPr="007440C5" w:rsidRDefault="007440C5" w:rsidP="004F16CC">
      <w:pPr>
        <w:tabs>
          <w:tab w:val="left" w:pos="1701"/>
        </w:tabs>
        <w:ind w:left="720"/>
        <w:rPr>
          <w:i/>
        </w:rPr>
      </w:pPr>
      <w:r w:rsidRPr="007440C5">
        <w:rPr>
          <w:i/>
        </w:rPr>
        <w:t xml:space="preserve">Table 34: </w:t>
      </w:r>
      <w:r w:rsidR="004F16CC">
        <w:rPr>
          <w:i/>
        </w:rPr>
        <w:tab/>
      </w:r>
      <w:r w:rsidRPr="007440C5">
        <w:rPr>
          <w:i/>
        </w:rPr>
        <w:t>Residential location of students at Bradford College 2009-14</w:t>
      </w:r>
    </w:p>
    <w:tbl>
      <w:tblPr>
        <w:tblpPr w:leftFromText="180" w:rightFromText="180" w:vertAnchor="text" w:horzAnchor="margin" w:tblpXSpec="center" w:tblpY="182"/>
        <w:tblW w:w="80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44"/>
        <w:gridCol w:w="851"/>
        <w:gridCol w:w="850"/>
        <w:gridCol w:w="851"/>
        <w:gridCol w:w="850"/>
      </w:tblGrid>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
        </w:tc>
        <w:tc>
          <w:tcPr>
            <w:tcW w:w="1701" w:type="dxa"/>
            <w:gridSpan w:val="2"/>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2009</w:t>
            </w:r>
          </w:p>
        </w:tc>
        <w:tc>
          <w:tcPr>
            <w:tcW w:w="1701" w:type="dxa"/>
            <w:gridSpan w:val="2"/>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2014</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In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2,080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60.2%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2,001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59.4%</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Private rented (city centre)</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Private sector halls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1.4%</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University accommodation</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0.1%</w:t>
            </w:r>
          </w:p>
        </w:tc>
      </w:tr>
      <w:tr w:rsidR="007440C5" w:rsidRPr="007440C5" w:rsidTr="00BB288F">
        <w:trPr>
          <w:trHeight w:val="300"/>
        </w:trPr>
        <w:tc>
          <w:tcPr>
            <w:tcW w:w="4644" w:type="dxa"/>
            <w:shd w:val="clear" w:color="auto" w:fill="auto"/>
            <w:noWrap/>
            <w:vAlign w:val="bottom"/>
          </w:tcPr>
          <w:p w:rsidR="007440C5" w:rsidRPr="007440C5" w:rsidRDefault="007440C5" w:rsidP="003E34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Off</w:t>
            </w:r>
            <w:r w:rsidR="003E34C5">
              <w:rPr>
                <w:rFonts w:ascii="Calibri" w:eastAsia="Times New Roman" w:hAnsi="Calibri" w:cs="Times New Roman"/>
                <w:color w:val="000000"/>
                <w:sz w:val="20"/>
                <w:lang w:eastAsia="en-GB"/>
              </w:rPr>
              <w:t>-s</w:t>
            </w:r>
            <w:r w:rsidRPr="007440C5">
              <w:rPr>
                <w:rFonts w:ascii="Calibri" w:eastAsia="Times New Roman" w:hAnsi="Calibri" w:cs="Times New Roman"/>
                <w:color w:val="000000"/>
                <w:sz w:val="20"/>
                <w:lang w:eastAsia="en-GB"/>
              </w:rPr>
              <w:t>treet private rented housing</w:t>
            </w:r>
          </w:p>
        </w:tc>
        <w:tc>
          <w:tcPr>
            <w:tcW w:w="851" w:type="dxa"/>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100</w:t>
            </w:r>
          </w:p>
        </w:tc>
        <w:tc>
          <w:tcPr>
            <w:tcW w:w="850" w:type="dxa"/>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2.9%</w:t>
            </w:r>
          </w:p>
        </w:tc>
        <w:tc>
          <w:tcPr>
            <w:tcW w:w="851" w:type="dxa"/>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120</w:t>
            </w:r>
          </w:p>
        </w:tc>
        <w:tc>
          <w:tcPr>
            <w:tcW w:w="850" w:type="dxa"/>
            <w:shd w:val="clear" w:color="auto" w:fill="auto"/>
            <w:noWrap/>
            <w:vAlign w:val="bottom"/>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r>
      <w:tr w:rsidR="007440C5" w:rsidRPr="007440C5" w:rsidTr="00BB288F">
        <w:trPr>
          <w:trHeight w:val="300"/>
        </w:trPr>
        <w:tc>
          <w:tcPr>
            <w:tcW w:w="4644" w:type="dxa"/>
            <w:shd w:val="clear" w:color="auto" w:fill="auto"/>
            <w:noWrap/>
            <w:vAlign w:val="bottom"/>
            <w:hideMark/>
          </w:tcPr>
          <w:p w:rsidR="007440C5" w:rsidRPr="007440C5" w:rsidRDefault="007440C5" w:rsidP="00823130">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Own home/parent</w:t>
            </w:r>
            <w:r w:rsidR="00823130">
              <w:rPr>
                <w:rFonts w:ascii="Calibri" w:eastAsia="Times New Roman" w:hAnsi="Calibri" w:cs="Times New Roman"/>
                <w:color w:val="000000"/>
                <w:sz w:val="20"/>
                <w:lang w:eastAsia="en-GB"/>
              </w:rPr>
              <w:t>s’</w:t>
            </w:r>
            <w:r w:rsidRPr="007440C5">
              <w:rPr>
                <w:rFonts w:ascii="Calibri" w:eastAsia="Times New Roman" w:hAnsi="Calibri" w:cs="Times New Roman"/>
                <w:color w:val="000000"/>
                <w:sz w:val="20"/>
                <w:lang w:eastAsia="en-GB"/>
              </w:rPr>
              <w:t xml:space="preserve"> home in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1,833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53.0%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1,708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50.7%</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Outside Bradford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1,376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39.8%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1,367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i/>
                <w:iCs/>
                <w:color w:val="000000"/>
                <w:sz w:val="20"/>
                <w:lang w:eastAsia="en-GB"/>
              </w:rPr>
            </w:pPr>
            <w:r w:rsidRPr="007440C5">
              <w:rPr>
                <w:rFonts w:ascii="Calibri" w:eastAsia="Times New Roman" w:hAnsi="Calibri" w:cs="Times New Roman"/>
                <w:b/>
                <w:bCs/>
                <w:i/>
                <w:iCs/>
                <w:color w:val="000000"/>
                <w:sz w:val="20"/>
                <w:lang w:eastAsia="en-GB"/>
              </w:rPr>
              <w:t>40.6%</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West Yorkshire</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947</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27.4%</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982</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29.2%</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Leeds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456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13.2%</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423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12.6%</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Kirklees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236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6.8%</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258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7.7%</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Calderdale</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210</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6.1%</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243</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7.2%</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Wakefield</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45</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1.3%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58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szCs w:val="18"/>
                <w:lang w:eastAsia="en-GB"/>
              </w:rPr>
            </w:pPr>
            <w:r w:rsidRPr="007440C5">
              <w:rPr>
                <w:rFonts w:ascii="Calibri" w:eastAsia="Times New Roman" w:hAnsi="Calibri" w:cs="Times New Roman"/>
                <w:sz w:val="20"/>
                <w:szCs w:val="18"/>
                <w:lang w:eastAsia="en-GB"/>
              </w:rPr>
              <w:t>1.7%</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Other parts of the Leeds City Region</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31</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0.9%</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Elsewhere in the UK (within 50 miles of Bradford)</w:t>
            </w:r>
          </w:p>
        </w:tc>
        <w:tc>
          <w:tcPr>
            <w:tcW w:w="851" w:type="dxa"/>
            <w:tcBorders>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177</w:t>
            </w:r>
          </w:p>
        </w:tc>
        <w:tc>
          <w:tcPr>
            <w:tcW w:w="850" w:type="dxa"/>
            <w:tcBorders>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5.0%</w:t>
            </w:r>
          </w:p>
        </w:tc>
        <w:tc>
          <w:tcPr>
            <w:tcW w:w="851" w:type="dxa"/>
            <w:tcBorders>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121</w:t>
            </w:r>
          </w:p>
        </w:tc>
        <w:tc>
          <w:tcPr>
            <w:tcW w:w="850" w:type="dxa"/>
            <w:tcBorders>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Elsewhere in the UK (over 50 miles from Bradford)</w:t>
            </w:r>
          </w:p>
        </w:tc>
        <w:tc>
          <w:tcPr>
            <w:tcW w:w="851" w:type="dxa"/>
            <w:tcBorders>
              <w:top w:val="single" w:sz="6" w:space="0" w:color="auto"/>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lang w:eastAsia="en-GB"/>
              </w:rPr>
            </w:pPr>
            <w:r w:rsidRPr="007440C5">
              <w:rPr>
                <w:rFonts w:ascii="Calibri" w:eastAsia="Times New Roman" w:hAnsi="Calibri" w:cs="Times New Roman"/>
                <w:sz w:val="20"/>
                <w:lang w:eastAsia="en-GB"/>
              </w:rPr>
              <w:t>202</w:t>
            </w:r>
          </w:p>
        </w:tc>
        <w:tc>
          <w:tcPr>
            <w:tcW w:w="850" w:type="dxa"/>
            <w:tcBorders>
              <w:top w:val="single" w:sz="6" w:space="0" w:color="auto"/>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lang w:eastAsia="en-GB"/>
              </w:rPr>
            </w:pPr>
            <w:r w:rsidRPr="007440C5">
              <w:rPr>
                <w:rFonts w:ascii="Calibri" w:eastAsia="Times New Roman" w:hAnsi="Calibri" w:cs="Times New Roman"/>
                <w:sz w:val="20"/>
                <w:lang w:eastAsia="en-GB"/>
              </w:rPr>
              <w:t>6.0%</w:t>
            </w:r>
          </w:p>
        </w:tc>
        <w:tc>
          <w:tcPr>
            <w:tcW w:w="851" w:type="dxa"/>
            <w:tcBorders>
              <w:top w:val="single" w:sz="6" w:space="0" w:color="auto"/>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lang w:eastAsia="en-GB"/>
              </w:rPr>
            </w:pPr>
            <w:r w:rsidRPr="007440C5">
              <w:rPr>
                <w:rFonts w:ascii="Calibri" w:eastAsia="Times New Roman" w:hAnsi="Calibri" w:cs="Times New Roman"/>
                <w:sz w:val="20"/>
                <w:lang w:eastAsia="en-GB"/>
              </w:rPr>
              <w:t>227</w:t>
            </w:r>
          </w:p>
        </w:tc>
        <w:tc>
          <w:tcPr>
            <w:tcW w:w="850" w:type="dxa"/>
            <w:tcBorders>
              <w:top w:val="single" w:sz="6" w:space="0" w:color="auto"/>
              <w:bottom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sz w:val="20"/>
                <w:lang w:eastAsia="en-GB"/>
              </w:rPr>
            </w:pPr>
            <w:r w:rsidRPr="007440C5">
              <w:rPr>
                <w:rFonts w:ascii="Calibri" w:eastAsia="Times New Roman" w:hAnsi="Calibri" w:cs="Times New Roman"/>
                <w:sz w:val="20"/>
                <w:lang w:eastAsia="en-GB"/>
              </w:rPr>
              <w:t>6.7%</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Outside the UK</w:t>
            </w:r>
          </w:p>
        </w:tc>
        <w:tc>
          <w:tcPr>
            <w:tcW w:w="851" w:type="dxa"/>
            <w:tcBorders>
              <w:top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w:t>
            </w:r>
          </w:p>
        </w:tc>
        <w:tc>
          <w:tcPr>
            <w:tcW w:w="850" w:type="dxa"/>
            <w:tcBorders>
              <w:top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0.1%</w:t>
            </w:r>
          </w:p>
        </w:tc>
        <w:tc>
          <w:tcPr>
            <w:tcW w:w="851" w:type="dxa"/>
            <w:tcBorders>
              <w:top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w:t>
            </w:r>
          </w:p>
        </w:tc>
        <w:tc>
          <w:tcPr>
            <w:tcW w:w="850" w:type="dxa"/>
            <w:tcBorders>
              <w:top w:val="single" w:sz="6" w:space="0" w:color="auto"/>
            </w:tcBorders>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0.2%</w:t>
            </w:r>
          </w:p>
        </w:tc>
      </w:tr>
      <w:tr w:rsidR="007440C5" w:rsidRPr="007440C5" w:rsidTr="00BB288F">
        <w:trPr>
          <w:trHeight w:val="300"/>
        </w:trPr>
        <w:tc>
          <w:tcPr>
            <w:tcW w:w="464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All students</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3,456</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c>
          <w:tcPr>
            <w:tcW w:w="851"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3,368</w:t>
            </w:r>
          </w:p>
        </w:tc>
        <w:tc>
          <w:tcPr>
            <w:tcW w:w="85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100.0%</w:t>
            </w:r>
          </w:p>
        </w:tc>
      </w:tr>
    </w:tbl>
    <w:p w:rsidR="007440C5" w:rsidRPr="007440C5" w:rsidRDefault="007440C5" w:rsidP="007440C5">
      <w:pPr>
        <w:ind w:left="720"/>
        <w:rPr>
          <w:i/>
        </w:rPr>
      </w:pPr>
    </w:p>
    <w:p w:rsidR="007440C5" w:rsidRPr="007440C5" w:rsidRDefault="007440C5" w:rsidP="007440C5">
      <w:pPr>
        <w:ind w:firstLine="720"/>
        <w:rPr>
          <w:sz w:val="18"/>
        </w:rPr>
      </w:pPr>
      <w:r w:rsidRPr="007440C5">
        <w:rPr>
          <w:sz w:val="18"/>
        </w:rPr>
        <w:t>(</w:t>
      </w:r>
      <w:r w:rsidRPr="007440C5">
        <w:rPr>
          <w:i/>
          <w:sz w:val="18"/>
        </w:rPr>
        <w:t>Source:  Bradford College 2014</w:t>
      </w:r>
      <w:r w:rsidRPr="007440C5">
        <w:rPr>
          <w:sz w:val="18"/>
        </w:rPr>
        <w:t>)</w:t>
      </w:r>
    </w:p>
    <w:p w:rsidR="007440C5" w:rsidRPr="007440C5" w:rsidRDefault="007440C5" w:rsidP="007440C5">
      <w:pPr>
        <w:ind w:left="720"/>
      </w:pPr>
      <w:r w:rsidRPr="007440C5">
        <w:lastRenderedPageBreak/>
        <w:t xml:space="preserve">Table 34 shows that only 1.5 per cent of students live in PBSA and just over </w:t>
      </w:r>
      <w:r w:rsidR="00752F98">
        <w:t>seven</w:t>
      </w:r>
      <w:r w:rsidRPr="007440C5">
        <w:t xml:space="preserve"> per cent live in private rented accommodation in the city centre or in off-street shared housing (m</w:t>
      </w:r>
      <w:r w:rsidR="00F31774">
        <w:t>ostly international students); a</w:t>
      </w:r>
      <w:r w:rsidRPr="007440C5">
        <w:t>lmost 51 per cent of students live in their parent</w:t>
      </w:r>
      <w:r w:rsidR="00823130">
        <w:t>s’</w:t>
      </w:r>
      <w:r w:rsidRPr="007440C5">
        <w:t xml:space="preserve"> home or own independent home in Bradford while studying; and just over 40 per cent of students studying at the College live outside Bradford, mostly in West Yorkshire or other parts of the Leeds City Region.   A breakdown of areas of residence is provided at Annexe 1.</w:t>
      </w:r>
    </w:p>
    <w:p w:rsidR="007440C5" w:rsidRPr="007440C5" w:rsidRDefault="007440C5" w:rsidP="007440C5">
      <w:pPr>
        <w:ind w:left="720"/>
        <w:rPr>
          <w:u w:val="single"/>
        </w:rPr>
      </w:pPr>
      <w:r w:rsidRPr="007440C5">
        <w:rPr>
          <w:u w:val="single"/>
        </w:rPr>
        <w:t xml:space="preserve">Distribution across Bradford </w:t>
      </w:r>
    </w:p>
    <w:p w:rsidR="007440C5" w:rsidRPr="007440C5" w:rsidRDefault="007440C5" w:rsidP="007440C5">
      <w:pPr>
        <w:ind w:left="720"/>
      </w:pPr>
      <w:r w:rsidRPr="007440C5">
        <w:t>The distribution of Bradford College students is not dissimilar to the University with most students living in the areas surrounding the city centre and some key towns outside Bradford, including Bingley and Keighley.</w:t>
      </w:r>
    </w:p>
    <w:p w:rsidR="007440C5" w:rsidRPr="007440C5" w:rsidRDefault="007440C5" w:rsidP="004F16CC">
      <w:pPr>
        <w:tabs>
          <w:tab w:val="left" w:pos="1701"/>
        </w:tabs>
        <w:ind w:left="720"/>
        <w:rPr>
          <w:i/>
        </w:rPr>
      </w:pPr>
      <w:r w:rsidRPr="007440C5">
        <w:rPr>
          <w:i/>
        </w:rPr>
        <w:t xml:space="preserve">Table 35: </w:t>
      </w:r>
      <w:r w:rsidR="004F16CC">
        <w:rPr>
          <w:i/>
        </w:rPr>
        <w:tab/>
      </w:r>
      <w:r w:rsidRPr="007440C5">
        <w:rPr>
          <w:i/>
        </w:rPr>
        <w:t>Distribution of Bradford College students living and studying in Bradford 2014</w:t>
      </w:r>
    </w:p>
    <w:tbl>
      <w:tblPr>
        <w:tblW w:w="8374"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4"/>
        <w:gridCol w:w="5320"/>
        <w:gridCol w:w="960"/>
        <w:gridCol w:w="960"/>
      </w:tblGrid>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Postcode</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Neighbourhoods</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No</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bCs/>
                <w:color w:val="000000"/>
                <w:sz w:val="20"/>
                <w:lang w:eastAsia="en-GB"/>
              </w:rPr>
            </w:pPr>
            <w:r w:rsidRPr="007440C5">
              <w:rPr>
                <w:rFonts w:ascii="Calibri" w:eastAsia="Times New Roman" w:hAnsi="Calibri" w:cs="Times New Roman"/>
                <w:b/>
                <w:bCs/>
                <w:color w:val="000000"/>
                <w:sz w:val="20"/>
                <w:lang w:eastAsia="en-GB"/>
              </w:rPr>
              <w:t>%</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BD7</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Shearbridge</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Lidgett</w:t>
            </w:r>
            <w:proofErr w:type="spellEnd"/>
            <w:r w:rsidRPr="007440C5">
              <w:rPr>
                <w:rFonts w:ascii="Calibri" w:eastAsia="Times New Roman" w:hAnsi="Calibri" w:cs="Times New Roman"/>
                <w:color w:val="000000"/>
                <w:sz w:val="20"/>
                <w:lang w:eastAsia="en-GB"/>
              </w:rPr>
              <w:t xml:space="preserve"> Green, Great Horton, University campus</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232</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11.6%</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BD6</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Odsal</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Wibsey</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Buttershaw</w:t>
            </w:r>
            <w:proofErr w:type="spellEnd"/>
            <w:r w:rsidRPr="007440C5">
              <w:rPr>
                <w:rFonts w:ascii="Calibri" w:eastAsia="Times New Roman" w:hAnsi="Calibri" w:cs="Times New Roman"/>
                <w:color w:val="000000"/>
                <w:sz w:val="20"/>
                <w:lang w:eastAsia="en-GB"/>
              </w:rPr>
              <w:t>, Clayton Heights</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198</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9.9%</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BD8</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Manningham</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Fairweather</w:t>
            </w:r>
            <w:proofErr w:type="spellEnd"/>
            <w:r w:rsidRPr="007440C5">
              <w:rPr>
                <w:rFonts w:ascii="Calibri" w:eastAsia="Times New Roman" w:hAnsi="Calibri" w:cs="Times New Roman"/>
                <w:color w:val="000000"/>
                <w:sz w:val="20"/>
                <w:lang w:eastAsia="en-GB"/>
              </w:rPr>
              <w:t xml:space="preserve"> Green, </w:t>
            </w:r>
            <w:proofErr w:type="spellStart"/>
            <w:r w:rsidRPr="007440C5">
              <w:rPr>
                <w:rFonts w:ascii="Calibri" w:eastAsia="Times New Roman" w:hAnsi="Calibri" w:cs="Times New Roman"/>
                <w:color w:val="000000"/>
                <w:sz w:val="20"/>
                <w:lang w:eastAsia="en-GB"/>
              </w:rPr>
              <w:t>Girlington</w:t>
            </w:r>
            <w:proofErr w:type="spellEnd"/>
            <w:r w:rsidRPr="007440C5">
              <w:rPr>
                <w:rFonts w:ascii="Calibri" w:eastAsia="Times New Roman" w:hAnsi="Calibri" w:cs="Times New Roman"/>
                <w:color w:val="000000"/>
                <w:sz w:val="20"/>
                <w:lang w:eastAsia="en-GB"/>
              </w:rPr>
              <w:t>, Allerton</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198</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9.9%</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BD9</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Heaton, </w:t>
            </w:r>
            <w:proofErr w:type="spellStart"/>
            <w:r w:rsidRPr="007440C5">
              <w:rPr>
                <w:rFonts w:ascii="Calibri" w:eastAsia="Times New Roman" w:hAnsi="Calibri" w:cs="Times New Roman"/>
                <w:color w:val="000000"/>
                <w:sz w:val="20"/>
                <w:lang w:eastAsia="en-GB"/>
              </w:rPr>
              <w:t>Frizinghall</w:t>
            </w:r>
            <w:proofErr w:type="spellEnd"/>
            <w:r w:rsidRPr="007440C5">
              <w:rPr>
                <w:rFonts w:ascii="Calibri" w:eastAsia="Times New Roman" w:hAnsi="Calibri" w:cs="Times New Roman"/>
                <w:color w:val="000000"/>
                <w:sz w:val="20"/>
                <w:lang w:eastAsia="en-GB"/>
              </w:rPr>
              <w:t>, Daisy Hill, Queensbury</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190</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9.5%</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BD5</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Little Horton, Horton </w:t>
            </w:r>
            <w:proofErr w:type="spellStart"/>
            <w:r w:rsidRPr="007440C5">
              <w:rPr>
                <w:rFonts w:ascii="Calibri" w:eastAsia="Times New Roman" w:hAnsi="Calibri" w:cs="Times New Roman"/>
                <w:color w:val="000000"/>
                <w:sz w:val="20"/>
                <w:lang w:eastAsia="en-GB"/>
              </w:rPr>
              <w:t>Banktop</w:t>
            </w:r>
            <w:proofErr w:type="spellEnd"/>
            <w:r w:rsidRPr="007440C5">
              <w:rPr>
                <w:rFonts w:ascii="Calibri" w:eastAsia="Times New Roman" w:hAnsi="Calibri" w:cs="Times New Roman"/>
                <w:color w:val="000000"/>
                <w:sz w:val="20"/>
                <w:lang w:eastAsia="en-GB"/>
              </w:rPr>
              <w:t xml:space="preserve">, West Bowling, </w:t>
            </w:r>
            <w:proofErr w:type="spellStart"/>
            <w:r w:rsidRPr="007440C5">
              <w:rPr>
                <w:rFonts w:ascii="Calibri" w:eastAsia="Times New Roman" w:hAnsi="Calibri" w:cs="Times New Roman"/>
                <w:color w:val="000000"/>
                <w:sz w:val="20"/>
                <w:lang w:eastAsia="en-GB"/>
              </w:rPr>
              <w:t>Marshfields</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151</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7.5%</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BD20/21</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Keighley area</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137</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6.8%</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BD16/13</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Bingley area</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136</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6.8%</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BD1/BD5</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City centre</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131</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6.5%</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BD2</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Eccleshill</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Fagley</w:t>
            </w:r>
            <w:proofErr w:type="spellEnd"/>
            <w:r w:rsidRPr="007440C5">
              <w:rPr>
                <w:rFonts w:ascii="Calibri" w:eastAsia="Times New Roman" w:hAnsi="Calibri" w:cs="Times New Roman"/>
                <w:color w:val="000000"/>
                <w:sz w:val="20"/>
                <w:lang w:eastAsia="en-GB"/>
              </w:rPr>
              <w:t>, Five Lane Ends</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97</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4.8%</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BD4</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Holmewood</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Bierley</w:t>
            </w:r>
            <w:proofErr w:type="spellEnd"/>
            <w:r w:rsidRPr="007440C5">
              <w:rPr>
                <w:rFonts w:ascii="Calibri" w:eastAsia="Times New Roman" w:hAnsi="Calibri" w:cs="Times New Roman"/>
                <w:color w:val="000000"/>
                <w:sz w:val="20"/>
                <w:lang w:eastAsia="en-GB"/>
              </w:rPr>
              <w:t xml:space="preserve">, East Bowling, </w:t>
            </w:r>
            <w:proofErr w:type="spellStart"/>
            <w:r w:rsidRPr="007440C5">
              <w:rPr>
                <w:rFonts w:ascii="Calibri" w:eastAsia="Times New Roman" w:hAnsi="Calibri" w:cs="Times New Roman"/>
                <w:color w:val="000000"/>
                <w:sz w:val="20"/>
                <w:lang w:eastAsia="en-GB"/>
              </w:rPr>
              <w:t>Tyersal</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93</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4.6%</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BD3</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Barkerend</w:t>
            </w:r>
            <w:proofErr w:type="spellEnd"/>
            <w:r w:rsidRPr="007440C5">
              <w:rPr>
                <w:rFonts w:ascii="Calibri" w:eastAsia="Times New Roman" w:hAnsi="Calibri" w:cs="Times New Roman"/>
                <w:color w:val="000000"/>
                <w:sz w:val="20"/>
                <w:lang w:eastAsia="en-GB"/>
              </w:rPr>
              <w:t xml:space="preserve">, Bradford Moor, </w:t>
            </w:r>
            <w:proofErr w:type="spellStart"/>
            <w:r w:rsidRPr="007440C5">
              <w:rPr>
                <w:rFonts w:ascii="Calibri" w:eastAsia="Times New Roman" w:hAnsi="Calibri" w:cs="Times New Roman"/>
                <w:color w:val="000000"/>
                <w:sz w:val="20"/>
                <w:lang w:eastAsia="en-GB"/>
              </w:rPr>
              <w:t>Laisterdyke</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Undercliffe</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82</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4.1%</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BD18</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Shipley area</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73</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3.6%</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BD10</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Apperley</w:t>
            </w:r>
            <w:proofErr w:type="spellEnd"/>
            <w:r w:rsidRPr="007440C5">
              <w:rPr>
                <w:rFonts w:ascii="Calibri" w:eastAsia="Times New Roman" w:hAnsi="Calibri" w:cs="Times New Roman"/>
                <w:color w:val="000000"/>
                <w:sz w:val="20"/>
                <w:lang w:eastAsia="en-GB"/>
              </w:rPr>
              <w:t xml:space="preserve"> Bridge, </w:t>
            </w:r>
            <w:proofErr w:type="spellStart"/>
            <w:r w:rsidRPr="007440C5">
              <w:rPr>
                <w:rFonts w:ascii="Calibri" w:eastAsia="Times New Roman" w:hAnsi="Calibri" w:cs="Times New Roman"/>
                <w:color w:val="000000"/>
                <w:sz w:val="20"/>
                <w:lang w:eastAsia="en-GB"/>
              </w:rPr>
              <w:t>Greengates</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Eccleshill</w:t>
            </w:r>
            <w:proofErr w:type="spellEnd"/>
            <w:r w:rsidRPr="007440C5">
              <w:rPr>
                <w:rFonts w:ascii="Calibri" w:eastAsia="Times New Roman" w:hAnsi="Calibri" w:cs="Times New Roman"/>
                <w:color w:val="000000"/>
                <w:sz w:val="20"/>
                <w:lang w:eastAsia="en-GB"/>
              </w:rPr>
              <w:t xml:space="preserve">, Idle, </w:t>
            </w:r>
            <w:proofErr w:type="spellStart"/>
            <w:r w:rsidRPr="007440C5">
              <w:rPr>
                <w:rFonts w:ascii="Calibri" w:eastAsia="Times New Roman" w:hAnsi="Calibri" w:cs="Times New Roman"/>
                <w:color w:val="000000"/>
                <w:sz w:val="20"/>
                <w:lang w:eastAsia="en-GB"/>
              </w:rPr>
              <w:t>Thackley</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56</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2.8%</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BD15</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Wilsden</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55</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2.7%</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BD21</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Haworth area</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42</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BD12</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 xml:space="preserve">Low Moor, </w:t>
            </w:r>
            <w:proofErr w:type="spellStart"/>
            <w:r w:rsidRPr="007440C5">
              <w:rPr>
                <w:rFonts w:ascii="Calibri" w:eastAsia="Times New Roman" w:hAnsi="Calibri" w:cs="Times New Roman"/>
                <w:color w:val="000000"/>
                <w:sz w:val="20"/>
                <w:lang w:eastAsia="en-GB"/>
              </w:rPr>
              <w:t>Oakenshaw</w:t>
            </w:r>
            <w:proofErr w:type="spellEnd"/>
            <w:r w:rsidRPr="007440C5">
              <w:rPr>
                <w:rFonts w:ascii="Calibri" w:eastAsia="Times New Roman" w:hAnsi="Calibri" w:cs="Times New Roman"/>
                <w:color w:val="000000"/>
                <w:sz w:val="20"/>
                <w:lang w:eastAsia="en-GB"/>
              </w:rPr>
              <w:t xml:space="preserve">, </w:t>
            </w:r>
            <w:proofErr w:type="spellStart"/>
            <w:r w:rsidRPr="007440C5">
              <w:rPr>
                <w:rFonts w:ascii="Calibri" w:eastAsia="Times New Roman" w:hAnsi="Calibri" w:cs="Times New Roman"/>
                <w:color w:val="000000"/>
                <w:sz w:val="20"/>
                <w:lang w:eastAsia="en-GB"/>
              </w:rPr>
              <w:t>Wyke</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41</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BD17</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Baildon</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27</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LS29</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Ilkley</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26</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1.3%</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BD14</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Clayton</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21</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BD22</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roofErr w:type="spellStart"/>
            <w:r w:rsidRPr="007440C5">
              <w:rPr>
                <w:rFonts w:ascii="Calibri" w:eastAsia="Times New Roman" w:hAnsi="Calibri" w:cs="Times New Roman"/>
                <w:color w:val="000000"/>
                <w:sz w:val="20"/>
                <w:lang w:eastAsia="en-GB"/>
              </w:rPr>
              <w:t>Skipton</w:t>
            </w:r>
            <w:proofErr w:type="spellEnd"/>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20</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color w:val="000000"/>
                <w:sz w:val="20"/>
                <w:lang w:eastAsia="en-GB"/>
              </w:rPr>
            </w:pPr>
            <w:r w:rsidRPr="007440C5">
              <w:rPr>
                <w:rFonts w:ascii="Calibri" w:eastAsia="Times New Roman" w:hAnsi="Calibri" w:cs="Times New Roman"/>
                <w:color w:val="000000"/>
                <w:sz w:val="20"/>
                <w:lang w:eastAsia="en-GB"/>
              </w:rPr>
              <w:t>1.0%</w:t>
            </w:r>
          </w:p>
        </w:tc>
      </w:tr>
      <w:tr w:rsidR="007440C5" w:rsidRPr="007440C5" w:rsidTr="00BB288F">
        <w:trPr>
          <w:trHeight w:val="300"/>
        </w:trPr>
        <w:tc>
          <w:tcPr>
            <w:tcW w:w="1134"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b/>
                <w:color w:val="000000"/>
                <w:sz w:val="20"/>
                <w:lang w:eastAsia="en-GB"/>
              </w:rPr>
            </w:pPr>
            <w:r w:rsidRPr="007440C5">
              <w:rPr>
                <w:rFonts w:ascii="Calibri" w:eastAsia="Times New Roman" w:hAnsi="Calibri" w:cs="Times New Roman"/>
                <w:b/>
                <w:color w:val="000000"/>
                <w:sz w:val="20"/>
                <w:lang w:eastAsia="en-GB"/>
              </w:rPr>
              <w:t>TOTAL</w:t>
            </w:r>
          </w:p>
        </w:tc>
        <w:tc>
          <w:tcPr>
            <w:tcW w:w="5320" w:type="dxa"/>
            <w:shd w:val="clear" w:color="auto" w:fill="auto"/>
            <w:noWrap/>
            <w:vAlign w:val="bottom"/>
            <w:hideMark/>
          </w:tcPr>
          <w:p w:rsidR="007440C5" w:rsidRPr="007440C5" w:rsidRDefault="007440C5" w:rsidP="007440C5">
            <w:pPr>
              <w:spacing w:after="0" w:line="240" w:lineRule="auto"/>
              <w:rPr>
                <w:rFonts w:ascii="Calibri" w:eastAsia="Times New Roman" w:hAnsi="Calibri" w:cs="Times New Roman"/>
                <w:color w:val="000000"/>
                <w:sz w:val="20"/>
                <w:lang w:eastAsia="en-GB"/>
              </w:rPr>
            </w:pP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color w:val="000000"/>
                <w:sz w:val="20"/>
                <w:lang w:eastAsia="en-GB"/>
              </w:rPr>
            </w:pPr>
            <w:r w:rsidRPr="007440C5">
              <w:rPr>
                <w:rFonts w:ascii="Calibri" w:eastAsia="Times New Roman" w:hAnsi="Calibri" w:cs="Times New Roman"/>
                <w:b/>
                <w:color w:val="000000"/>
                <w:sz w:val="20"/>
                <w:lang w:eastAsia="en-GB"/>
              </w:rPr>
              <w:t>2,006</w:t>
            </w:r>
          </w:p>
        </w:tc>
        <w:tc>
          <w:tcPr>
            <w:tcW w:w="960" w:type="dxa"/>
            <w:shd w:val="clear" w:color="auto" w:fill="auto"/>
            <w:noWrap/>
            <w:vAlign w:val="bottom"/>
            <w:hideMark/>
          </w:tcPr>
          <w:p w:rsidR="007440C5" w:rsidRPr="007440C5" w:rsidRDefault="007440C5" w:rsidP="007440C5">
            <w:pPr>
              <w:spacing w:after="0" w:line="240" w:lineRule="auto"/>
              <w:jc w:val="center"/>
              <w:rPr>
                <w:rFonts w:ascii="Calibri" w:eastAsia="Times New Roman" w:hAnsi="Calibri" w:cs="Times New Roman"/>
                <w:b/>
                <w:color w:val="000000"/>
                <w:sz w:val="20"/>
                <w:lang w:eastAsia="en-GB"/>
              </w:rPr>
            </w:pPr>
            <w:r w:rsidRPr="007440C5">
              <w:rPr>
                <w:rFonts w:ascii="Calibri" w:eastAsia="Times New Roman" w:hAnsi="Calibri" w:cs="Times New Roman"/>
                <w:b/>
                <w:color w:val="000000"/>
                <w:sz w:val="20"/>
                <w:lang w:eastAsia="en-GB"/>
              </w:rPr>
              <w:t>100.0%</w:t>
            </w:r>
          </w:p>
        </w:tc>
      </w:tr>
    </w:tbl>
    <w:p w:rsidR="007440C5" w:rsidRPr="007440C5" w:rsidRDefault="007440C5" w:rsidP="007440C5">
      <w:pPr>
        <w:ind w:firstLine="720"/>
        <w:rPr>
          <w:sz w:val="18"/>
        </w:rPr>
      </w:pPr>
      <w:r w:rsidRPr="007440C5">
        <w:rPr>
          <w:sz w:val="18"/>
        </w:rPr>
        <w:t>(</w:t>
      </w:r>
      <w:r w:rsidRPr="007440C5">
        <w:rPr>
          <w:i/>
          <w:sz w:val="18"/>
        </w:rPr>
        <w:t>Source; Bradford College 2014</w:t>
      </w:r>
      <w:r w:rsidRPr="007440C5">
        <w:rPr>
          <w:sz w:val="18"/>
        </w:rPr>
        <w:t>)</w:t>
      </w:r>
    </w:p>
    <w:p w:rsidR="004F16CC" w:rsidRDefault="004F16CC">
      <w:pPr>
        <w:rPr>
          <w:i/>
        </w:rPr>
      </w:pPr>
      <w:r>
        <w:rPr>
          <w:i/>
        </w:rPr>
        <w:br w:type="page"/>
      </w:r>
    </w:p>
    <w:p w:rsidR="007440C5" w:rsidRDefault="007440C5" w:rsidP="007440C5">
      <w:pPr>
        <w:numPr>
          <w:ilvl w:val="2"/>
          <w:numId w:val="31"/>
        </w:numPr>
        <w:contextualSpacing/>
        <w:rPr>
          <w:i/>
        </w:rPr>
      </w:pPr>
      <w:r w:rsidRPr="004F16CC">
        <w:rPr>
          <w:i/>
        </w:rPr>
        <w:lastRenderedPageBreak/>
        <w:t>Students with a residential need</w:t>
      </w:r>
    </w:p>
    <w:p w:rsidR="004F16CC" w:rsidRPr="004F16CC" w:rsidRDefault="004F16CC" w:rsidP="004F16CC">
      <w:pPr>
        <w:ind w:left="720"/>
        <w:contextualSpacing/>
        <w:rPr>
          <w:i/>
        </w:rPr>
      </w:pPr>
    </w:p>
    <w:p w:rsidR="007440C5" w:rsidRPr="007440C5" w:rsidRDefault="007440C5" w:rsidP="004F16CC">
      <w:pPr>
        <w:spacing w:after="120"/>
        <w:ind w:left="720"/>
        <w:rPr>
          <w:color w:val="FF0000"/>
        </w:rPr>
      </w:pPr>
      <w:r w:rsidRPr="007440C5">
        <w:t>Analysis of address records shows that at the start of 2013/14, there are 4,394 students who required accommodation either in PBSA or in the private rented sector.  This compares to a supply of approximately 6,128 bed spaces – 4,350 in PBSA and 1,778 in the private rented sector.  This leaves a surplus of approximately 1,734 bed spaces</w:t>
      </w:r>
      <w:r w:rsidRPr="007440C5">
        <w:rPr>
          <w:color w:val="FF0000"/>
        </w:rPr>
        <w:t xml:space="preserve">. </w:t>
      </w:r>
    </w:p>
    <w:p w:rsidR="007440C5" w:rsidRPr="007440C5" w:rsidRDefault="007440C5" w:rsidP="004F16CC">
      <w:pPr>
        <w:tabs>
          <w:tab w:val="left" w:pos="1701"/>
        </w:tabs>
        <w:ind w:firstLine="720"/>
        <w:rPr>
          <w:i/>
        </w:rPr>
      </w:pPr>
      <w:r w:rsidRPr="007440C5">
        <w:rPr>
          <w:i/>
        </w:rPr>
        <w:t>Table 36a: Accommodation choices of students with a residential need 2009-14</w:t>
      </w:r>
    </w:p>
    <w:tbl>
      <w:tblPr>
        <w:tblW w:w="8642" w:type="dxa"/>
        <w:tblInd w:w="724" w:type="dxa"/>
        <w:tblCellMar>
          <w:left w:w="0" w:type="dxa"/>
          <w:right w:w="0" w:type="dxa"/>
        </w:tblCellMar>
        <w:tblLook w:val="04A0" w:firstRow="1" w:lastRow="0" w:firstColumn="1" w:lastColumn="0" w:noHBand="0" w:noVBand="1"/>
      </w:tblPr>
      <w:tblGrid>
        <w:gridCol w:w="4111"/>
        <w:gridCol w:w="1134"/>
        <w:gridCol w:w="1134"/>
        <w:gridCol w:w="1134"/>
        <w:gridCol w:w="1129"/>
      </w:tblGrid>
      <w:tr w:rsidR="007440C5" w:rsidRPr="007440C5" w:rsidTr="00BB288F">
        <w:trPr>
          <w:trHeight w:val="315"/>
        </w:trPr>
        <w:tc>
          <w:tcPr>
            <w:tcW w:w="4111"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7440C5" w:rsidRPr="007440C5" w:rsidRDefault="007440C5" w:rsidP="007440C5">
            <w:pPr>
              <w:spacing w:after="0"/>
              <w:rPr>
                <w:rFonts w:ascii="Calibri" w:hAnsi="Calibri"/>
                <w:color w:val="000000"/>
              </w:rPr>
            </w:pPr>
            <w:r w:rsidRPr="007440C5">
              <w:rPr>
                <w:rFonts w:ascii="Calibri" w:hAnsi="Calibri"/>
                <w:color w:val="000000"/>
              </w:rPr>
              <w:t> </w:t>
            </w:r>
          </w:p>
        </w:tc>
        <w:tc>
          <w:tcPr>
            <w:tcW w:w="2268"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2009</w:t>
            </w:r>
          </w:p>
        </w:tc>
        <w:tc>
          <w:tcPr>
            <w:tcW w:w="2263"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2014</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rPr>
                <w:rFonts w:ascii="Calibri" w:hAnsi="Calibri"/>
                <w:color w:val="000000"/>
                <w:sz w:val="20"/>
                <w:szCs w:val="20"/>
              </w:rPr>
            </w:pPr>
            <w:r w:rsidRPr="007440C5">
              <w:rPr>
                <w:rFonts w:ascii="Calibri" w:hAnsi="Calibri"/>
                <w:color w:val="000000"/>
                <w:sz w:val="20"/>
                <w:szCs w:val="20"/>
              </w:rPr>
              <w:t>Private halls</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2,251</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35.04%</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1,689</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26.35%</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rPr>
                <w:rFonts w:ascii="Calibri" w:hAnsi="Calibri"/>
                <w:color w:val="000000"/>
                <w:sz w:val="20"/>
                <w:szCs w:val="20"/>
              </w:rPr>
            </w:pPr>
            <w:r w:rsidRPr="007440C5">
              <w:rPr>
                <w:rFonts w:ascii="Calibri" w:hAnsi="Calibri"/>
                <w:color w:val="000000"/>
                <w:sz w:val="20"/>
                <w:szCs w:val="20"/>
              </w:rPr>
              <w:t>University/College halls</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207</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3.22%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1,051</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16.40%</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rPr>
                <w:rFonts w:ascii="Calibri" w:hAnsi="Calibri"/>
                <w:b/>
                <w:bCs/>
                <w:color w:val="000000"/>
                <w:sz w:val="20"/>
                <w:szCs w:val="20"/>
              </w:rPr>
            </w:pPr>
            <w:r w:rsidRPr="007440C5">
              <w:rPr>
                <w:rFonts w:ascii="Calibri" w:hAnsi="Calibri"/>
                <w:b/>
                <w:bCs/>
                <w:color w:val="000000"/>
                <w:sz w:val="20"/>
                <w:szCs w:val="20"/>
              </w:rPr>
              <w:t>ALL PBSA</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2,458</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38.26%</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2,740</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42.75%</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4F16CC" w:rsidP="007440C5">
            <w:pPr>
              <w:spacing w:after="0"/>
              <w:rPr>
                <w:rFonts w:ascii="Calibri" w:hAnsi="Calibri"/>
                <w:color w:val="000000"/>
                <w:sz w:val="20"/>
                <w:szCs w:val="20"/>
              </w:rPr>
            </w:pPr>
            <w:r>
              <w:rPr>
                <w:rFonts w:ascii="Calibri" w:hAnsi="Calibri"/>
                <w:color w:val="000000"/>
                <w:sz w:val="20"/>
                <w:szCs w:val="20"/>
              </w:rPr>
              <w:t>City c</w:t>
            </w:r>
            <w:r w:rsidR="007440C5" w:rsidRPr="007440C5">
              <w:rPr>
                <w:rFonts w:ascii="Calibri" w:hAnsi="Calibri"/>
                <w:color w:val="000000"/>
                <w:sz w:val="20"/>
                <w:szCs w:val="20"/>
              </w:rPr>
              <w:t>entre private rented</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362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5.63%</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407</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6.35%</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4F16CC" w:rsidP="007440C5">
            <w:pPr>
              <w:spacing w:after="0"/>
              <w:rPr>
                <w:rFonts w:ascii="Calibri" w:hAnsi="Calibri"/>
                <w:color w:val="000000"/>
                <w:sz w:val="20"/>
                <w:szCs w:val="20"/>
              </w:rPr>
            </w:pPr>
            <w:r>
              <w:rPr>
                <w:rFonts w:ascii="Calibri" w:hAnsi="Calibri"/>
                <w:color w:val="000000"/>
                <w:sz w:val="20"/>
                <w:szCs w:val="20"/>
              </w:rPr>
              <w:t>Off-s</w:t>
            </w:r>
            <w:r w:rsidR="007440C5" w:rsidRPr="007440C5">
              <w:rPr>
                <w:rFonts w:ascii="Calibri" w:hAnsi="Calibri"/>
                <w:color w:val="000000"/>
                <w:sz w:val="20"/>
                <w:szCs w:val="20"/>
              </w:rPr>
              <w:t>treet private rented</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1,595</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24.82%</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1,247</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color w:val="000000"/>
                <w:sz w:val="20"/>
                <w:szCs w:val="20"/>
              </w:rPr>
            </w:pPr>
            <w:r w:rsidRPr="007440C5">
              <w:rPr>
                <w:rFonts w:ascii="Calibri" w:hAnsi="Calibri"/>
                <w:color w:val="000000"/>
                <w:sz w:val="20"/>
                <w:szCs w:val="20"/>
              </w:rPr>
              <w:t>19.46%</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rPr>
                <w:rFonts w:ascii="Calibri" w:hAnsi="Calibri"/>
                <w:b/>
                <w:bCs/>
                <w:color w:val="000000"/>
                <w:sz w:val="20"/>
                <w:szCs w:val="20"/>
              </w:rPr>
            </w:pPr>
            <w:r w:rsidRPr="007440C5">
              <w:rPr>
                <w:rFonts w:ascii="Calibri" w:hAnsi="Calibri"/>
                <w:b/>
                <w:bCs/>
                <w:color w:val="000000"/>
                <w:sz w:val="20"/>
                <w:szCs w:val="20"/>
              </w:rPr>
              <w:t>ALL PRIVATE RENTED</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1,957</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30.46%</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1,654</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25.81%</w:t>
            </w:r>
          </w:p>
        </w:tc>
      </w:tr>
      <w:tr w:rsidR="007440C5" w:rsidRPr="007440C5" w:rsidTr="00BB288F">
        <w:trPr>
          <w:trHeight w:val="315"/>
        </w:trPr>
        <w:tc>
          <w:tcPr>
            <w:tcW w:w="4111"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rPr>
                <w:rFonts w:ascii="Calibri" w:hAnsi="Calibri"/>
                <w:b/>
                <w:bCs/>
                <w:color w:val="000000"/>
                <w:sz w:val="20"/>
                <w:szCs w:val="20"/>
              </w:rPr>
            </w:pPr>
            <w:r w:rsidRPr="007440C5">
              <w:rPr>
                <w:rFonts w:ascii="Calibri" w:hAnsi="Calibri"/>
                <w:b/>
                <w:bCs/>
                <w:color w:val="000000"/>
                <w:sz w:val="20"/>
                <w:szCs w:val="20"/>
              </w:rPr>
              <w:t>ALL WITH A RESIDENTIAL NEED</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4,415</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100.00%</w:t>
            </w:r>
          </w:p>
        </w:tc>
        <w:tc>
          <w:tcPr>
            <w:tcW w:w="113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4,394</w:t>
            </w:r>
          </w:p>
        </w:tc>
        <w:tc>
          <w:tcPr>
            <w:tcW w:w="11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440C5" w:rsidRPr="007440C5" w:rsidRDefault="007440C5" w:rsidP="007440C5">
            <w:pPr>
              <w:spacing w:after="0"/>
              <w:jc w:val="center"/>
              <w:rPr>
                <w:rFonts w:ascii="Calibri" w:hAnsi="Calibri"/>
                <w:b/>
                <w:bCs/>
                <w:color w:val="000000"/>
                <w:sz w:val="20"/>
                <w:szCs w:val="20"/>
              </w:rPr>
            </w:pPr>
            <w:r w:rsidRPr="007440C5">
              <w:rPr>
                <w:rFonts w:ascii="Calibri" w:hAnsi="Calibri"/>
                <w:b/>
                <w:bCs/>
                <w:color w:val="000000"/>
                <w:sz w:val="20"/>
                <w:szCs w:val="20"/>
              </w:rPr>
              <w:t>100.00%</w:t>
            </w:r>
          </w:p>
        </w:tc>
      </w:tr>
    </w:tbl>
    <w:p w:rsidR="007440C5" w:rsidRPr="007440C5" w:rsidRDefault="007440C5" w:rsidP="007440C5">
      <w:pPr>
        <w:ind w:left="720"/>
        <w:rPr>
          <w:sz w:val="18"/>
        </w:rPr>
      </w:pPr>
      <w:r w:rsidRPr="007440C5">
        <w:rPr>
          <w:sz w:val="18"/>
        </w:rPr>
        <w:t xml:space="preserve"> (</w:t>
      </w:r>
      <w:r w:rsidRPr="007440C5">
        <w:rPr>
          <w:i/>
          <w:sz w:val="18"/>
        </w:rPr>
        <w:t>Source:  University of Bradford/Bradford College and Unipol 2014</w:t>
      </w:r>
      <w:r w:rsidRPr="007440C5">
        <w:rPr>
          <w:sz w:val="18"/>
        </w:rPr>
        <w:t xml:space="preserve">) </w:t>
      </w:r>
    </w:p>
    <w:p w:rsidR="007440C5" w:rsidRPr="007440C5" w:rsidRDefault="007440C5" w:rsidP="007440C5">
      <w:pPr>
        <w:ind w:left="720"/>
      </w:pPr>
      <w:r w:rsidRPr="007440C5">
        <w:t xml:space="preserve">Table 36a shows changes in the accommodation of students with an accommodation need unmet by their ability to live in their own home or with their parents. It shows that the University of Bradford accommodation houses just over 16 per cent of students – five times more than in 2009. The proportion of students accommodated by private sector halls has reduced from 35 to 26 per cent and the proportion of students housed in the off-street private rented sector reduced from 25 to </w:t>
      </w:r>
      <w:proofErr w:type="gramStart"/>
      <w:r w:rsidRPr="007440C5">
        <w:t>under</w:t>
      </w:r>
      <w:proofErr w:type="gramEnd"/>
      <w:r w:rsidRPr="007440C5">
        <w:t xml:space="preserve"> 20 per cent.</w:t>
      </w:r>
    </w:p>
    <w:p w:rsidR="007440C5" w:rsidRPr="007440C5" w:rsidRDefault="007440C5" w:rsidP="004F16CC">
      <w:pPr>
        <w:ind w:left="1701" w:hanging="981"/>
        <w:rPr>
          <w:i/>
        </w:rPr>
      </w:pPr>
      <w:r w:rsidRPr="007440C5">
        <w:rPr>
          <w:i/>
        </w:rPr>
        <w:t>Table 36b</w:t>
      </w:r>
      <w:r w:rsidR="00F31774">
        <w:rPr>
          <w:i/>
        </w:rPr>
        <w:t xml:space="preserve">: </w:t>
      </w:r>
      <w:r w:rsidRPr="007440C5">
        <w:rPr>
          <w:i/>
        </w:rPr>
        <w:t>Students with a residential need in Bradford 2013/14</w:t>
      </w:r>
    </w:p>
    <w:tbl>
      <w:tblPr>
        <w:tblW w:w="8930" w:type="dxa"/>
        <w:tblInd w:w="817" w:type="dxa"/>
        <w:tblLook w:val="04A0" w:firstRow="1" w:lastRow="0" w:firstColumn="1" w:lastColumn="0" w:noHBand="0" w:noVBand="1"/>
      </w:tblPr>
      <w:tblGrid>
        <w:gridCol w:w="3119"/>
        <w:gridCol w:w="708"/>
        <w:gridCol w:w="761"/>
        <w:gridCol w:w="657"/>
        <w:gridCol w:w="761"/>
        <w:gridCol w:w="656"/>
        <w:gridCol w:w="761"/>
        <w:gridCol w:w="799"/>
        <w:gridCol w:w="761"/>
      </w:tblGrid>
      <w:tr w:rsidR="007440C5" w:rsidRPr="007440C5" w:rsidTr="00BB288F">
        <w:trPr>
          <w:trHeight w:val="315"/>
        </w:trPr>
        <w:tc>
          <w:tcPr>
            <w:tcW w:w="31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 </w:t>
            </w:r>
          </w:p>
        </w:tc>
        <w:tc>
          <w:tcPr>
            <w:tcW w:w="146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1st year students</w:t>
            </w:r>
          </w:p>
        </w:tc>
        <w:tc>
          <w:tcPr>
            <w:tcW w:w="141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Returning students</w:t>
            </w:r>
          </w:p>
        </w:tc>
        <w:tc>
          <w:tcPr>
            <w:tcW w:w="141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440C5" w:rsidRPr="007440C5" w:rsidRDefault="007440C5" w:rsidP="00024F29">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Post</w:t>
            </w:r>
            <w:r w:rsidR="00024F29">
              <w:rPr>
                <w:rFonts w:ascii="Calibri" w:eastAsia="Times New Roman" w:hAnsi="Calibri" w:cs="Times New Roman"/>
                <w:b/>
                <w:bCs/>
                <w:color w:val="000000"/>
                <w:sz w:val="18"/>
                <w:szCs w:val="18"/>
                <w:lang w:eastAsia="en-GB"/>
              </w:rPr>
              <w:t>g</w:t>
            </w:r>
            <w:r w:rsidRPr="007440C5">
              <w:rPr>
                <w:rFonts w:ascii="Calibri" w:eastAsia="Times New Roman" w:hAnsi="Calibri" w:cs="Times New Roman"/>
                <w:b/>
                <w:bCs/>
                <w:color w:val="000000"/>
                <w:sz w:val="18"/>
                <w:szCs w:val="18"/>
                <w:lang w:eastAsia="en-GB"/>
              </w:rPr>
              <w:t>raduates</w:t>
            </w:r>
          </w:p>
        </w:tc>
        <w:tc>
          <w:tcPr>
            <w:tcW w:w="150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440C5" w:rsidRPr="007440C5" w:rsidRDefault="00024F29" w:rsidP="00024F29">
            <w:pPr>
              <w:spacing w:after="0"/>
              <w:jc w:val="center"/>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ALL st</w:t>
            </w:r>
            <w:r w:rsidR="007440C5" w:rsidRPr="007440C5">
              <w:rPr>
                <w:rFonts w:ascii="Calibri" w:eastAsia="Times New Roman" w:hAnsi="Calibri" w:cs="Times New Roman"/>
                <w:b/>
                <w:bCs/>
                <w:color w:val="000000"/>
                <w:sz w:val="18"/>
                <w:szCs w:val="18"/>
                <w:lang w:eastAsia="en-GB"/>
              </w:rPr>
              <w:t>udents</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F31774" w:rsidP="007440C5">
            <w:pPr>
              <w:spacing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h</w:t>
            </w:r>
            <w:r w:rsidR="007440C5" w:rsidRPr="007440C5">
              <w:rPr>
                <w:rFonts w:ascii="Calibri" w:eastAsia="Times New Roman" w:hAnsi="Calibri" w:cs="Times New Roman"/>
                <w:color w:val="000000"/>
                <w:sz w:val="18"/>
                <w:szCs w:val="18"/>
                <w:lang w:eastAsia="en-GB"/>
              </w:rPr>
              <w:t>alls</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415</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34.7%</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1000</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42.3%</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274</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32.8%</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1689</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38.4%</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 xml:space="preserve">The Green/Vernon </w:t>
            </w:r>
            <w:proofErr w:type="spellStart"/>
            <w:r w:rsidRPr="007440C5">
              <w:rPr>
                <w:rFonts w:ascii="Calibri" w:eastAsia="Times New Roman" w:hAnsi="Calibri" w:cs="Times New Roman"/>
                <w:color w:val="000000"/>
                <w:sz w:val="18"/>
                <w:szCs w:val="18"/>
                <w:lang w:eastAsia="en-GB"/>
              </w:rPr>
              <w:t>Barnby</w:t>
            </w:r>
            <w:proofErr w:type="spellEnd"/>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597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50.0%</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227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9.6%</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227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27.2%</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1051</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23.9%</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7440C5" w:rsidP="007440C5">
            <w:pPr>
              <w:spacing w:after="0"/>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ALL PBSA</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1012</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84.7%</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1227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51.9%</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501</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60.0%</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2740</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62.4%</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024F29" w:rsidP="007440C5">
            <w:pPr>
              <w:spacing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rented (off-s</w:t>
            </w:r>
            <w:r w:rsidR="007440C5" w:rsidRPr="007440C5">
              <w:rPr>
                <w:rFonts w:ascii="Calibri" w:eastAsia="Times New Roman" w:hAnsi="Calibri" w:cs="Times New Roman"/>
                <w:color w:val="000000"/>
                <w:sz w:val="18"/>
                <w:szCs w:val="18"/>
                <w:lang w:eastAsia="en-GB"/>
              </w:rPr>
              <w:t>treet Bradford)</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136</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11.4%</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860</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36.4%</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251</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30.1%</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1247</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28.4%</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024F29" w:rsidP="007440C5">
            <w:pPr>
              <w:spacing w:after="0"/>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Private rented (Bradford city c</w:t>
            </w:r>
            <w:r w:rsidR="007440C5" w:rsidRPr="007440C5">
              <w:rPr>
                <w:rFonts w:ascii="Calibri" w:eastAsia="Times New Roman" w:hAnsi="Calibri" w:cs="Times New Roman"/>
                <w:color w:val="000000"/>
                <w:sz w:val="18"/>
                <w:szCs w:val="18"/>
                <w:lang w:eastAsia="en-GB"/>
              </w:rPr>
              <w:t>entre)</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47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3.9%</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277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11.7%</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83</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color w:val="000000"/>
                <w:sz w:val="18"/>
                <w:szCs w:val="18"/>
                <w:lang w:eastAsia="en-GB"/>
              </w:rPr>
            </w:pPr>
            <w:r w:rsidRPr="007440C5">
              <w:rPr>
                <w:rFonts w:ascii="Calibri" w:eastAsia="Times New Roman" w:hAnsi="Calibri" w:cs="Times New Roman"/>
                <w:color w:val="000000"/>
                <w:sz w:val="18"/>
                <w:szCs w:val="18"/>
                <w:lang w:eastAsia="en-GB"/>
              </w:rPr>
              <w:t>9.9%</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407</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9.3%</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024F29" w:rsidP="007440C5">
            <w:pPr>
              <w:spacing w:after="0"/>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All private r</w:t>
            </w:r>
            <w:r w:rsidR="007440C5" w:rsidRPr="007440C5">
              <w:rPr>
                <w:rFonts w:ascii="Calibri" w:eastAsia="Times New Roman" w:hAnsi="Calibri" w:cs="Times New Roman"/>
                <w:b/>
                <w:bCs/>
                <w:color w:val="000000"/>
                <w:sz w:val="18"/>
                <w:szCs w:val="18"/>
                <w:lang w:eastAsia="en-GB"/>
              </w:rPr>
              <w:t>ented</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183</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15.3%</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1137</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48.1%</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334</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40.0%</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1654</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37.6%</w:t>
            </w:r>
          </w:p>
        </w:tc>
      </w:tr>
      <w:tr w:rsidR="007440C5" w:rsidRPr="007440C5" w:rsidTr="00BB288F">
        <w:trPr>
          <w:trHeight w:val="315"/>
        </w:trPr>
        <w:tc>
          <w:tcPr>
            <w:tcW w:w="3119" w:type="dxa"/>
            <w:tcBorders>
              <w:top w:val="nil"/>
              <w:left w:val="single" w:sz="8" w:space="0" w:color="auto"/>
              <w:bottom w:val="single" w:sz="8" w:space="0" w:color="auto"/>
              <w:right w:val="single" w:sz="8" w:space="0" w:color="auto"/>
            </w:tcBorders>
            <w:shd w:val="clear" w:color="auto" w:fill="auto"/>
            <w:noWrap/>
            <w:vAlign w:val="center"/>
            <w:hideMark/>
          </w:tcPr>
          <w:p w:rsidR="007440C5" w:rsidRPr="007440C5" w:rsidRDefault="00024F29" w:rsidP="007440C5">
            <w:pPr>
              <w:spacing w:after="0"/>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All s</w:t>
            </w:r>
            <w:r w:rsidR="007440C5" w:rsidRPr="007440C5">
              <w:rPr>
                <w:rFonts w:ascii="Calibri" w:eastAsia="Times New Roman" w:hAnsi="Calibri" w:cs="Times New Roman"/>
                <w:b/>
                <w:bCs/>
                <w:color w:val="000000"/>
                <w:sz w:val="18"/>
                <w:szCs w:val="18"/>
                <w:lang w:eastAsia="en-GB"/>
              </w:rPr>
              <w:t xml:space="preserve">tudents with a residential need </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1195</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100.0%</w:t>
            </w:r>
          </w:p>
        </w:tc>
        <w:tc>
          <w:tcPr>
            <w:tcW w:w="657"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2364</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100.0%</w:t>
            </w:r>
          </w:p>
        </w:tc>
        <w:tc>
          <w:tcPr>
            <w:tcW w:w="656"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835</w:t>
            </w:r>
          </w:p>
        </w:tc>
        <w:tc>
          <w:tcPr>
            <w:tcW w:w="761"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100.0%</w:t>
            </w:r>
          </w:p>
        </w:tc>
        <w:tc>
          <w:tcPr>
            <w:tcW w:w="799"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4394</w:t>
            </w:r>
          </w:p>
        </w:tc>
        <w:tc>
          <w:tcPr>
            <w:tcW w:w="708" w:type="dxa"/>
            <w:tcBorders>
              <w:top w:val="nil"/>
              <w:left w:val="nil"/>
              <w:bottom w:val="single" w:sz="8" w:space="0" w:color="auto"/>
              <w:right w:val="single" w:sz="8" w:space="0" w:color="auto"/>
            </w:tcBorders>
            <w:shd w:val="clear" w:color="auto" w:fill="auto"/>
            <w:noWrap/>
            <w:vAlign w:val="center"/>
            <w:hideMark/>
          </w:tcPr>
          <w:p w:rsidR="007440C5" w:rsidRPr="007440C5" w:rsidRDefault="007440C5" w:rsidP="007440C5">
            <w:pPr>
              <w:spacing w:after="0"/>
              <w:jc w:val="center"/>
              <w:rPr>
                <w:rFonts w:ascii="Calibri" w:eastAsia="Times New Roman" w:hAnsi="Calibri" w:cs="Times New Roman"/>
                <w:b/>
                <w:bCs/>
                <w:color w:val="000000"/>
                <w:sz w:val="18"/>
                <w:szCs w:val="18"/>
                <w:lang w:eastAsia="en-GB"/>
              </w:rPr>
            </w:pPr>
            <w:r w:rsidRPr="007440C5">
              <w:rPr>
                <w:rFonts w:ascii="Calibri" w:eastAsia="Times New Roman" w:hAnsi="Calibri" w:cs="Times New Roman"/>
                <w:b/>
                <w:bCs/>
                <w:color w:val="000000"/>
                <w:sz w:val="18"/>
                <w:szCs w:val="18"/>
                <w:lang w:eastAsia="en-GB"/>
              </w:rPr>
              <w:t>100.0%</w:t>
            </w:r>
          </w:p>
        </w:tc>
      </w:tr>
    </w:tbl>
    <w:p w:rsidR="007440C5" w:rsidRPr="007440C5" w:rsidRDefault="00024F29" w:rsidP="007440C5">
      <w:pPr>
        <w:ind w:left="720"/>
        <w:rPr>
          <w:i/>
        </w:rPr>
      </w:pPr>
      <w:r>
        <w:rPr>
          <w:i/>
          <w:sz w:val="18"/>
        </w:rPr>
        <w:t xml:space="preserve"> (Source: </w:t>
      </w:r>
      <w:r w:rsidR="007440C5" w:rsidRPr="007440C5">
        <w:rPr>
          <w:i/>
          <w:sz w:val="18"/>
        </w:rPr>
        <w:t>University of Bradford 2014)</w:t>
      </w:r>
      <w:r w:rsidR="007440C5" w:rsidRPr="007440C5">
        <w:rPr>
          <w:color w:val="FF0000"/>
          <w:sz w:val="18"/>
        </w:rPr>
        <w:t xml:space="preserve"> </w:t>
      </w:r>
    </w:p>
    <w:p w:rsidR="007440C5" w:rsidRPr="007440C5" w:rsidRDefault="007440C5" w:rsidP="007440C5">
      <w:pPr>
        <w:ind w:left="720"/>
      </w:pPr>
      <w:r w:rsidRPr="007440C5">
        <w:t>Table 36b shows a breakdown of the residential choices for students with a residential need in Bradford</w:t>
      </w:r>
      <w:r w:rsidR="00024F29">
        <w:t>,</w:t>
      </w:r>
      <w:r w:rsidRPr="007440C5">
        <w:t xml:space="preserve"> i.e. those stude</w:t>
      </w:r>
      <w:r w:rsidR="004F16CC">
        <w:t>n</w:t>
      </w:r>
      <w:r w:rsidRPr="007440C5">
        <w:t>ts not living in their own or their parent</w:t>
      </w:r>
      <w:r w:rsidR="00823130">
        <w:t>s’</w:t>
      </w:r>
      <w:r w:rsidRPr="007440C5">
        <w:t xml:space="preserve"> home in Bra</w:t>
      </w:r>
      <w:r w:rsidR="00024F29">
        <w:t>dford or outside. It shows that:</w:t>
      </w:r>
    </w:p>
    <w:p w:rsidR="007440C5" w:rsidRPr="007440C5" w:rsidRDefault="007440C5" w:rsidP="004F16CC">
      <w:pPr>
        <w:numPr>
          <w:ilvl w:val="0"/>
          <w:numId w:val="32"/>
        </w:numPr>
        <w:ind w:left="993" w:hanging="273"/>
        <w:contextualSpacing/>
      </w:pPr>
      <w:r w:rsidRPr="007440C5">
        <w:t>24 per cent of all students with a residen</w:t>
      </w:r>
      <w:r w:rsidR="00024F29">
        <w:t>tial need, 50 per cent of first-</w:t>
      </w:r>
      <w:r w:rsidRPr="007440C5">
        <w:t>year students, and 10</w:t>
      </w:r>
      <w:r w:rsidR="00024F29">
        <w:t xml:space="preserve"> per cent</w:t>
      </w:r>
      <w:r w:rsidRPr="007440C5">
        <w:t xml:space="preserve"> of returning students were housed </w:t>
      </w:r>
      <w:r w:rsidR="00024F29">
        <w:t xml:space="preserve">in The Green and  Vernon </w:t>
      </w:r>
      <w:proofErr w:type="spellStart"/>
      <w:r w:rsidR="00024F29">
        <w:t>Barnby</w:t>
      </w:r>
      <w:proofErr w:type="spellEnd"/>
      <w:r w:rsidRPr="007440C5">
        <w:t xml:space="preserve"> </w:t>
      </w:r>
    </w:p>
    <w:p w:rsidR="007440C5" w:rsidRPr="007440C5" w:rsidRDefault="007440C5" w:rsidP="004F16CC">
      <w:pPr>
        <w:numPr>
          <w:ilvl w:val="0"/>
          <w:numId w:val="32"/>
        </w:numPr>
        <w:ind w:left="993" w:hanging="273"/>
        <w:contextualSpacing/>
      </w:pPr>
      <w:r w:rsidRPr="007440C5">
        <w:t>38</w:t>
      </w:r>
      <w:r w:rsidR="00024F29">
        <w:t xml:space="preserve"> per cent</w:t>
      </w:r>
      <w:r w:rsidRPr="007440C5">
        <w:t xml:space="preserve"> of all students with a residential need, 35</w:t>
      </w:r>
      <w:r w:rsidR="00024F29">
        <w:t xml:space="preserve"> per cent</w:t>
      </w:r>
      <w:r w:rsidRPr="007440C5">
        <w:t xml:space="preserve"> of new students and (interestingly) 42</w:t>
      </w:r>
      <w:r w:rsidR="00024F29">
        <w:t xml:space="preserve"> per cent</w:t>
      </w:r>
      <w:r w:rsidRPr="007440C5">
        <w:t xml:space="preserve"> of returning students were housed in the vari</w:t>
      </w:r>
      <w:r w:rsidR="004F16CC">
        <w:t>ous private sector PBSA schemes</w:t>
      </w:r>
      <w:r w:rsidRPr="007440C5">
        <w:t xml:space="preserve"> </w:t>
      </w:r>
    </w:p>
    <w:p w:rsidR="007440C5" w:rsidRPr="007440C5" w:rsidRDefault="007440C5" w:rsidP="004F16CC">
      <w:pPr>
        <w:numPr>
          <w:ilvl w:val="0"/>
          <w:numId w:val="32"/>
        </w:numPr>
        <w:ind w:left="993" w:hanging="273"/>
        <w:contextualSpacing/>
      </w:pPr>
      <w:r w:rsidRPr="007440C5">
        <w:lastRenderedPageBreak/>
        <w:t>28</w:t>
      </w:r>
      <w:r w:rsidR="00024F29">
        <w:t xml:space="preserve"> per cent</w:t>
      </w:r>
      <w:r w:rsidRPr="007440C5">
        <w:t xml:space="preserve"> of all students with a residential need, 36 per cent of returning students, but only 11 per cent of new students were accommodated in off-street shared private rented housing.</w:t>
      </w:r>
    </w:p>
    <w:p w:rsidR="007440C5" w:rsidRPr="007440C5" w:rsidRDefault="007440C5" w:rsidP="007440C5">
      <w:pPr>
        <w:rPr>
          <w:i/>
        </w:rPr>
      </w:pPr>
    </w:p>
    <w:p w:rsidR="007440C5" w:rsidRPr="007440C5" w:rsidRDefault="007440C5" w:rsidP="007440C5">
      <w:pPr>
        <w:rPr>
          <w:i/>
        </w:rPr>
      </w:pPr>
    </w:p>
    <w:p w:rsidR="004F16CC" w:rsidRDefault="004F16CC">
      <w:pPr>
        <w:rPr>
          <w:i/>
        </w:rPr>
      </w:pPr>
      <w:r>
        <w:rPr>
          <w:i/>
        </w:rPr>
        <w:br w:type="page"/>
      </w:r>
    </w:p>
    <w:p w:rsidR="007440C5" w:rsidRPr="004F16CC" w:rsidRDefault="007440C5" w:rsidP="007440C5">
      <w:pPr>
        <w:rPr>
          <w:b/>
          <w:sz w:val="36"/>
        </w:rPr>
      </w:pPr>
      <w:r w:rsidRPr="004F16CC">
        <w:rPr>
          <w:b/>
          <w:sz w:val="36"/>
        </w:rPr>
        <w:lastRenderedPageBreak/>
        <w:t>Section 5</w:t>
      </w:r>
      <w:r w:rsidR="004F16CC">
        <w:rPr>
          <w:b/>
          <w:sz w:val="36"/>
        </w:rPr>
        <w:t>:</w:t>
      </w:r>
      <w:r w:rsidRPr="004F16CC">
        <w:rPr>
          <w:b/>
          <w:sz w:val="36"/>
        </w:rPr>
        <w:tab/>
        <w:t>Issues arising</w:t>
      </w:r>
    </w:p>
    <w:p w:rsidR="00024F29" w:rsidRPr="00802450" w:rsidRDefault="004F16CC" w:rsidP="004F16CC">
      <w:pPr>
        <w:ind w:left="709" w:hanging="709"/>
      </w:pPr>
      <w:r>
        <w:t>5.0</w:t>
      </w:r>
      <w:r>
        <w:tab/>
      </w:r>
      <w:r w:rsidR="00024F29">
        <w:t xml:space="preserve">This section provides a commentary on issues arising from the research findings and suggests options for intervention for consideration by </w:t>
      </w:r>
      <w:r w:rsidR="00024F29" w:rsidRPr="00802450">
        <w:t xml:space="preserve">the University, Bradford College, Bradford </w:t>
      </w:r>
      <w:r w:rsidR="00024F29">
        <w:t xml:space="preserve">Metropolitan District </w:t>
      </w:r>
      <w:r w:rsidR="00024F29" w:rsidRPr="00802450">
        <w:t>Council, PBSA providers, off-street landlords, Unipol and students and their representatives.</w:t>
      </w:r>
    </w:p>
    <w:p w:rsidR="007440C5" w:rsidRPr="007440C5" w:rsidRDefault="00E73F5B" w:rsidP="00E73F5B">
      <w:pPr>
        <w:spacing w:before="120" w:after="0"/>
        <w:ind w:left="709" w:hanging="709"/>
        <w:rPr>
          <w:b/>
        </w:rPr>
      </w:pPr>
      <w:r>
        <w:rPr>
          <w:b/>
        </w:rPr>
        <w:t>5.1</w:t>
      </w:r>
      <w:r>
        <w:rPr>
          <w:b/>
        </w:rPr>
        <w:tab/>
      </w:r>
      <w:r w:rsidR="007440C5" w:rsidRPr="007440C5">
        <w:rPr>
          <w:b/>
        </w:rPr>
        <w:t>Changes in the student residential market</w:t>
      </w:r>
    </w:p>
    <w:p w:rsidR="007440C5" w:rsidRPr="007440C5" w:rsidRDefault="007440C5" w:rsidP="007440C5">
      <w:pPr>
        <w:spacing w:before="120" w:after="0"/>
        <w:ind w:left="720" w:hanging="720"/>
      </w:pPr>
      <w:r w:rsidRPr="007440C5">
        <w:t>5.1.1</w:t>
      </w:r>
      <w:r w:rsidRPr="007440C5">
        <w:tab/>
        <w:t xml:space="preserve">The findings presented above and information contained in </w:t>
      </w:r>
      <w:r w:rsidR="00024F29">
        <w:t>Unipol’s</w:t>
      </w:r>
      <w:r w:rsidRPr="007440C5">
        <w:t xml:space="preserve"> recent briefing to property owners suggest that there </w:t>
      </w:r>
      <w:r w:rsidR="00024F29">
        <w:t>are</w:t>
      </w:r>
      <w:r w:rsidRPr="007440C5">
        <w:t xml:space="preserve"> some building pressures on existing and planned PBSA and on the off-street rental market in Bradford within the context of changing demand from students. In off</w:t>
      </w:r>
      <w:r w:rsidR="00024F29">
        <w:t>-</w:t>
      </w:r>
      <w:r w:rsidRPr="007440C5">
        <w:t>street properties the poorer quality, poorly located developments will be unlet, and there will be increasing competition between PBSA providers for returning students, with the prospect of some failing.</w:t>
      </w:r>
    </w:p>
    <w:p w:rsidR="007440C5" w:rsidRPr="007440C5" w:rsidRDefault="007440C5" w:rsidP="007440C5">
      <w:pPr>
        <w:numPr>
          <w:ilvl w:val="2"/>
          <w:numId w:val="22"/>
        </w:numPr>
        <w:spacing w:before="120" w:after="0"/>
      </w:pPr>
      <w:r w:rsidRPr="007440C5">
        <w:t xml:space="preserve">There looks to be a growing supply of PBSA combined with falling levels of demand from students. Given a likely fall in student numbers up to 2017 before any increase, there is likely to be increasing competition for the students available, and the business environment will be more demanding on product and services. </w:t>
      </w:r>
      <w:r w:rsidRPr="007440C5">
        <w:rPr>
          <w:rFonts w:cs="Courier New"/>
          <w:color w:val="000000"/>
          <w:shd w:val="clear" w:color="auto" w:fill="FFFFFF"/>
        </w:rPr>
        <w:t>The PBSA market in Bradford has seen two significant new investors as a result of portfolio sales</w:t>
      </w:r>
      <w:r w:rsidRPr="007440C5">
        <w:rPr>
          <w:rFonts w:cs="Courier New"/>
          <w:color w:val="000000"/>
          <w:shd w:val="clear" w:color="auto" w:fill="FFFFFF"/>
          <w:vertAlign w:val="superscript"/>
        </w:rPr>
        <w:footnoteReference w:id="27"/>
      </w:r>
      <w:r w:rsidR="00024F29">
        <w:rPr>
          <w:rFonts w:cs="Courier New"/>
          <w:color w:val="000000"/>
          <w:shd w:val="clear" w:color="auto" w:fill="FFFFFF"/>
        </w:rPr>
        <w:t>,</w:t>
      </w:r>
      <w:r w:rsidRPr="007440C5">
        <w:rPr>
          <w:rFonts w:cs="Courier New"/>
          <w:color w:val="000000"/>
          <w:shd w:val="clear" w:color="auto" w:fill="FFFFFF"/>
        </w:rPr>
        <w:t xml:space="preserve"> but it is unclear whether these investments will remain within those organisations’ main portfolios (since they were acquired as part of a larger and national portfolio purchase) or whether they are shed soon by being sold on. At Forster Halls, Unite have retained CRM as managers and have chosen not to take on this function themselves. In the short term, these investments are important because they will assure continued investment in the buildings concerned.  This may reflect a lack of local housing management capacity or it may make it easier to dispose of later. In the longer term, if individual disposals take place, this will reflect that even the big players do not see Bradford as a viable market in the future and may seek to cut their losses.</w:t>
      </w:r>
    </w:p>
    <w:p w:rsidR="007440C5" w:rsidRPr="007440C5" w:rsidRDefault="007440C5" w:rsidP="007440C5">
      <w:pPr>
        <w:numPr>
          <w:ilvl w:val="2"/>
          <w:numId w:val="22"/>
        </w:numPr>
        <w:spacing w:before="120" w:after="0"/>
        <w:rPr>
          <w:b/>
        </w:rPr>
      </w:pPr>
      <w:r w:rsidRPr="007440C5">
        <w:rPr>
          <w:rFonts w:cs="Courier New"/>
          <w:color w:val="000000"/>
          <w:shd w:val="clear" w:color="auto" w:fill="FFFFFF"/>
        </w:rPr>
        <w:t xml:space="preserve">The level of off-street housing is probably now at its </w:t>
      </w:r>
      <w:r w:rsidR="00024F29">
        <w:rPr>
          <w:rFonts w:cs="Courier New"/>
          <w:color w:val="000000"/>
          <w:shd w:val="clear" w:color="auto" w:fill="FFFFFF"/>
        </w:rPr>
        <w:t>bedrock</w:t>
      </w:r>
      <w:r w:rsidRPr="007440C5">
        <w:rPr>
          <w:rFonts w:cs="Courier New"/>
          <w:color w:val="000000"/>
          <w:shd w:val="clear" w:color="auto" w:fill="FFFFFF"/>
        </w:rPr>
        <w:t xml:space="preserve"> level. </w:t>
      </w:r>
      <w:r w:rsidRPr="007440C5">
        <w:t xml:space="preserve">The off-street market has been driven mainly by returning students renting in groups. The data presented above indicates that some returning students are finding PBSA more attractive, in terms of quality and management and are willing to pay higher rents.  The off-street sector is likely to face further competition for their core market from existing and new PBSA providers. </w:t>
      </w:r>
    </w:p>
    <w:p w:rsidR="007440C5" w:rsidRPr="007440C5" w:rsidRDefault="007440C5" w:rsidP="007440C5">
      <w:pPr>
        <w:spacing w:before="120" w:after="0"/>
        <w:rPr>
          <w:b/>
        </w:rPr>
      </w:pPr>
      <w:r w:rsidRPr="007440C5">
        <w:rPr>
          <w:b/>
        </w:rPr>
        <w:t>5.2</w:t>
      </w:r>
      <w:r w:rsidRPr="007440C5">
        <w:rPr>
          <w:b/>
        </w:rPr>
        <w:tab/>
        <w:t>Residential need arising from projected student numbers</w:t>
      </w:r>
    </w:p>
    <w:p w:rsidR="007440C5" w:rsidRPr="007440C5" w:rsidRDefault="007440C5" w:rsidP="007440C5">
      <w:pPr>
        <w:spacing w:before="120" w:after="0"/>
        <w:ind w:left="720" w:hanging="720"/>
        <w:rPr>
          <w:i/>
        </w:rPr>
      </w:pPr>
      <w:r w:rsidRPr="007440C5">
        <w:t>5.2.1</w:t>
      </w:r>
      <w:r w:rsidRPr="007440C5">
        <w:tab/>
        <w:t xml:space="preserve">The findings presented above suggest that there is enough accommodation provided to cater for the residential needs of students. </w:t>
      </w:r>
      <w:r w:rsidR="007D2C38">
        <w:t>The erosion of student populations in recent years, allied to the growing proportion that attend their studies from home,</w:t>
      </w:r>
      <w:r w:rsidR="007D2C38" w:rsidRPr="00802450">
        <w:t xml:space="preserve"> ha</w:t>
      </w:r>
      <w:r w:rsidR="007D2C38">
        <w:t>s</w:t>
      </w:r>
      <w:r w:rsidR="007D2C38" w:rsidRPr="00802450">
        <w:t xml:space="preserve"> meant that residential need for students in Bradford has </w:t>
      </w:r>
      <w:r w:rsidR="007D2C38">
        <w:t>declined</w:t>
      </w:r>
      <w:r w:rsidR="007D2C38" w:rsidRPr="00802450">
        <w:t>.</w:t>
      </w:r>
      <w:r w:rsidRPr="007440C5">
        <w:t xml:space="preserve"> </w:t>
      </w:r>
      <w:r w:rsidR="007D2C38">
        <w:t>Student number plans for the next five years set out low-level growth</w:t>
      </w:r>
      <w:r w:rsidR="009B26D7">
        <w:t xml:space="preserve">, which will be difficult to fulfil given how competition in an increasingly </w:t>
      </w:r>
      <w:proofErr w:type="spellStart"/>
      <w:r w:rsidR="009B26D7">
        <w:t>marketised</w:t>
      </w:r>
      <w:proofErr w:type="spellEnd"/>
      <w:r w:rsidR="009B26D7">
        <w:t xml:space="preserve"> environment is intensifying</w:t>
      </w:r>
      <w:r w:rsidR="007D2C38">
        <w:t xml:space="preserve">. Any increase in residential demand arising from </w:t>
      </w:r>
      <w:r w:rsidR="009B26D7">
        <w:t>fulfilment of student number plans</w:t>
      </w:r>
      <w:r w:rsidR="007D2C38">
        <w:t xml:space="preserve"> will be marginal and may be fully offset if the</w:t>
      </w:r>
      <w:r w:rsidR="007D2C38" w:rsidRPr="00802450">
        <w:t xml:space="preserve"> proportion of students </w:t>
      </w:r>
      <w:r w:rsidR="007D2C38">
        <w:t xml:space="preserve">attending from home increases further. This eventuality is more likely to materialise </w:t>
      </w:r>
      <w:r w:rsidR="007D2C38" w:rsidRPr="00802450">
        <w:t>if current economic c</w:t>
      </w:r>
      <w:r w:rsidR="007D2C38">
        <w:t>onditions</w:t>
      </w:r>
      <w:r w:rsidR="007D2C38" w:rsidRPr="00802450">
        <w:t xml:space="preserve"> and depressed income levels persist.</w:t>
      </w:r>
      <w:r w:rsidR="007D2C38">
        <w:t xml:space="preserve"> </w:t>
      </w:r>
    </w:p>
    <w:p w:rsidR="007440C5" w:rsidRPr="007440C5" w:rsidRDefault="007440C5" w:rsidP="007440C5">
      <w:pPr>
        <w:spacing w:before="120" w:after="0"/>
        <w:ind w:left="720" w:hanging="720"/>
      </w:pPr>
      <w:r w:rsidRPr="002C7FD2">
        <w:t>5.2.2</w:t>
      </w:r>
      <w:r w:rsidRPr="007440C5">
        <w:rPr>
          <w:i/>
        </w:rPr>
        <w:tab/>
      </w:r>
      <w:r w:rsidR="007D2C38" w:rsidRPr="00802450">
        <w:t>The University has a vision to develop a specialist reputation and brand for technology provision and research and should attract more students from other parts of the UK and abroad as a consequence</w:t>
      </w:r>
      <w:r w:rsidR="007D2C38" w:rsidRPr="00802450">
        <w:rPr>
          <w:i/>
        </w:rPr>
        <w:t xml:space="preserve">.  </w:t>
      </w:r>
      <w:r w:rsidRPr="007440C5">
        <w:lastRenderedPageBreak/>
        <w:t>Ensuring a robust and high quality student accommodation offer is highly important in enabling the University and the College to attract new demand, especially from its competitor HEIs.</w:t>
      </w:r>
    </w:p>
    <w:p w:rsidR="007D2C38" w:rsidRPr="00802450" w:rsidRDefault="007440C5" w:rsidP="007D2C38">
      <w:pPr>
        <w:spacing w:before="120" w:after="0"/>
        <w:ind w:left="720" w:hanging="720"/>
      </w:pPr>
      <w:r w:rsidRPr="007D2C38">
        <w:t>5.2.3</w:t>
      </w:r>
      <w:r w:rsidRPr="007440C5">
        <w:rPr>
          <w:i/>
        </w:rPr>
        <w:tab/>
      </w:r>
      <w:r w:rsidR="007D2C38" w:rsidRPr="00802450">
        <w:t>It is clear that the quality of provision offered by The Green has had a significant impact on private sector PBSA in the city.</w:t>
      </w:r>
      <w:r w:rsidR="007D2C38">
        <w:t xml:space="preserve"> Combined with</w:t>
      </w:r>
      <w:r w:rsidR="007D2C38" w:rsidRPr="00802450">
        <w:t xml:space="preserve"> the strong presence in the market of the option to attend studies from home, </w:t>
      </w:r>
      <w:r w:rsidR="007D2C38">
        <w:t xml:space="preserve">this factor </w:t>
      </w:r>
      <w:r w:rsidR="007D2C38" w:rsidRPr="00802450">
        <w:t xml:space="preserve">may create a structural surplus of accommodation, requiring rationalisation of the PBSA and the off-street housing sector.  </w:t>
      </w:r>
    </w:p>
    <w:p w:rsidR="007440C5" w:rsidRPr="007440C5" w:rsidRDefault="007440C5" w:rsidP="007440C5">
      <w:pPr>
        <w:spacing w:before="120" w:after="0"/>
        <w:ind w:left="720" w:hanging="720"/>
      </w:pPr>
      <w:r w:rsidRPr="007440C5">
        <w:t>5.2.4</w:t>
      </w:r>
      <w:r w:rsidRPr="007440C5">
        <w:tab/>
        <w:t xml:space="preserve">Table 37 below shows that </w:t>
      </w:r>
      <w:r w:rsidR="00F216A1">
        <w:t>if</w:t>
      </w:r>
      <w:r w:rsidRPr="007440C5">
        <w:t xml:space="preserve"> student numbers continue on the trajectory </w:t>
      </w:r>
      <w:r w:rsidR="002C7FD2">
        <w:t>described</w:t>
      </w:r>
      <w:r w:rsidRPr="007440C5">
        <w:t xml:space="preserve"> </w:t>
      </w:r>
      <w:r w:rsidR="002C7FD2">
        <w:t>in S</w:t>
      </w:r>
      <w:r w:rsidR="00F216A1">
        <w:t xml:space="preserve">ection 2, </w:t>
      </w:r>
      <w:r w:rsidRPr="007440C5">
        <w:t xml:space="preserve">and </w:t>
      </w:r>
      <w:r w:rsidR="00F216A1">
        <w:t>if</w:t>
      </w:r>
      <w:r w:rsidRPr="007440C5">
        <w:t xml:space="preserve"> the residence patterns outlined </w:t>
      </w:r>
      <w:r w:rsidR="002C7FD2">
        <w:t xml:space="preserve">elsewhere </w:t>
      </w:r>
      <w:r w:rsidRPr="007440C5">
        <w:t xml:space="preserve">in this report continue, there could be a substantial </w:t>
      </w:r>
      <w:r w:rsidR="00F216A1">
        <w:t>and lasting</w:t>
      </w:r>
      <w:r w:rsidRPr="007440C5">
        <w:t xml:space="preserve"> surplus of accommodation for students in Bradford, </w:t>
      </w:r>
      <w:r w:rsidR="00F216A1">
        <w:t>expanding from the current</w:t>
      </w:r>
      <w:r w:rsidRPr="007440C5">
        <w:t xml:space="preserve"> surplus of 1,920 bed</w:t>
      </w:r>
      <w:r w:rsidR="00F216A1">
        <w:t xml:space="preserve"> </w:t>
      </w:r>
      <w:r w:rsidRPr="007440C5">
        <w:t>spaces to just over 3,111 bed</w:t>
      </w:r>
      <w:r w:rsidR="00F216A1">
        <w:t xml:space="preserve"> </w:t>
      </w:r>
      <w:r w:rsidRPr="007440C5">
        <w:t xml:space="preserve">spaces next year, before falling to just over 2,200 in 2018/19.  </w:t>
      </w:r>
    </w:p>
    <w:p w:rsidR="007440C5" w:rsidRPr="007440C5" w:rsidRDefault="007440C5" w:rsidP="007440C5">
      <w:pPr>
        <w:spacing w:before="120" w:after="0"/>
        <w:ind w:left="720"/>
        <w:rPr>
          <w:i/>
        </w:rPr>
      </w:pPr>
    </w:p>
    <w:p w:rsidR="007440C5" w:rsidRPr="007440C5" w:rsidRDefault="007440C5" w:rsidP="002C7FD2">
      <w:pPr>
        <w:tabs>
          <w:tab w:val="left" w:pos="1701"/>
        </w:tabs>
        <w:ind w:left="720"/>
        <w:rPr>
          <w:i/>
        </w:rPr>
      </w:pPr>
      <w:r w:rsidRPr="007440C5">
        <w:rPr>
          <w:i/>
        </w:rPr>
        <w:t>Table 37</w:t>
      </w:r>
      <w:r w:rsidR="00F216A1">
        <w:rPr>
          <w:i/>
        </w:rPr>
        <w:t xml:space="preserve">: </w:t>
      </w:r>
      <w:r w:rsidR="002C7FD2">
        <w:rPr>
          <w:i/>
        </w:rPr>
        <w:tab/>
      </w:r>
      <w:r w:rsidRPr="007440C5">
        <w:rPr>
          <w:i/>
        </w:rPr>
        <w:t>Possible surplus or shortage of accommodation for students in Bradford 2</w:t>
      </w:r>
      <w:r w:rsidR="00F216A1">
        <w:rPr>
          <w:i/>
        </w:rPr>
        <w:t>01</w:t>
      </w:r>
      <w:r w:rsidRPr="007440C5">
        <w:rPr>
          <w:i/>
        </w:rPr>
        <w:t>3-</w:t>
      </w:r>
      <w:r w:rsidR="00F216A1">
        <w:rPr>
          <w:i/>
        </w:rPr>
        <w:t>1</w:t>
      </w:r>
      <w:r w:rsidRPr="007440C5">
        <w:rPr>
          <w:i/>
        </w:rPr>
        <w:t>9</w:t>
      </w:r>
    </w:p>
    <w:tbl>
      <w:tblPr>
        <w:tblW w:w="8812" w:type="dxa"/>
        <w:tblInd w:w="9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6"/>
        <w:gridCol w:w="1134"/>
        <w:gridCol w:w="991"/>
        <w:gridCol w:w="840"/>
        <w:gridCol w:w="1004"/>
        <w:gridCol w:w="850"/>
        <w:gridCol w:w="851"/>
        <w:gridCol w:w="992"/>
        <w:gridCol w:w="874"/>
      </w:tblGrid>
      <w:tr w:rsidR="007440C5" w:rsidRPr="007440C5" w:rsidTr="00BB288F">
        <w:trPr>
          <w:trHeight w:val="1290"/>
        </w:trPr>
        <w:tc>
          <w:tcPr>
            <w:tcW w:w="1276" w:type="dxa"/>
            <w:shd w:val="clear" w:color="auto" w:fill="auto"/>
            <w:hideMark/>
          </w:tcPr>
          <w:p w:rsidR="007440C5" w:rsidRPr="007440C5" w:rsidRDefault="007440C5" w:rsidP="007440C5">
            <w:pPr>
              <w:spacing w:after="0" w:line="240" w:lineRule="auto"/>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Year</w:t>
            </w:r>
          </w:p>
        </w:tc>
        <w:tc>
          <w:tcPr>
            <w:tcW w:w="1134" w:type="dxa"/>
            <w:shd w:val="clear" w:color="auto" w:fill="auto"/>
            <w:hideMark/>
          </w:tcPr>
          <w:p w:rsidR="007440C5" w:rsidRPr="007440C5" w:rsidRDefault="00823130" w:rsidP="00823130">
            <w:pPr>
              <w:spacing w:after="0" w:line="240" w:lineRule="auto"/>
              <w:jc w:val="center"/>
              <w:rPr>
                <w:rFonts w:ascii="Arial Narrow" w:eastAsia="Times New Roman" w:hAnsi="Arial Narrow" w:cs="Times New Roman"/>
                <w:b/>
                <w:bCs/>
                <w:color w:val="000000"/>
                <w:sz w:val="18"/>
                <w:szCs w:val="18"/>
                <w:lang w:eastAsia="en-GB"/>
              </w:rPr>
            </w:pPr>
            <w:r>
              <w:rPr>
                <w:rFonts w:ascii="Arial Narrow" w:eastAsia="Times New Roman" w:hAnsi="Arial Narrow" w:cs="Times New Roman"/>
                <w:b/>
                <w:bCs/>
                <w:color w:val="000000"/>
                <w:sz w:val="18"/>
                <w:szCs w:val="18"/>
                <w:lang w:eastAsia="en-GB"/>
              </w:rPr>
              <w:t>Housing demand (f</w:t>
            </w:r>
            <w:r w:rsidR="007440C5" w:rsidRPr="007440C5">
              <w:rPr>
                <w:rFonts w:ascii="Arial Narrow" w:eastAsia="Times New Roman" w:hAnsi="Arial Narrow" w:cs="Times New Roman"/>
                <w:b/>
                <w:bCs/>
                <w:color w:val="000000"/>
                <w:sz w:val="18"/>
                <w:szCs w:val="18"/>
                <w:lang w:eastAsia="en-GB"/>
              </w:rPr>
              <w:t>ull</w:t>
            </w:r>
            <w:r>
              <w:rPr>
                <w:rFonts w:ascii="Arial Narrow" w:eastAsia="Times New Roman" w:hAnsi="Arial Narrow" w:cs="Times New Roman"/>
                <w:b/>
                <w:bCs/>
                <w:color w:val="000000"/>
                <w:sz w:val="18"/>
                <w:szCs w:val="18"/>
                <w:lang w:eastAsia="en-GB"/>
              </w:rPr>
              <w:t>-time s</w:t>
            </w:r>
            <w:r w:rsidR="007440C5" w:rsidRPr="007440C5">
              <w:rPr>
                <w:rFonts w:ascii="Arial Narrow" w:eastAsia="Times New Roman" w:hAnsi="Arial Narrow" w:cs="Times New Roman"/>
                <w:b/>
                <w:bCs/>
                <w:color w:val="000000"/>
                <w:sz w:val="18"/>
                <w:szCs w:val="18"/>
                <w:lang w:eastAsia="en-GB"/>
              </w:rPr>
              <w:t xml:space="preserve">tudents) </w:t>
            </w:r>
            <w:r w:rsidR="007440C5" w:rsidRPr="007440C5">
              <w:rPr>
                <w:rFonts w:ascii="Arial Narrow" w:eastAsia="Times New Roman" w:hAnsi="Arial Narrow" w:cs="Times New Roman"/>
                <w:b/>
                <w:bCs/>
                <w:color w:val="000000"/>
                <w:sz w:val="18"/>
                <w:szCs w:val="18"/>
                <w:lang w:eastAsia="en-GB"/>
              </w:rPr>
              <w:br/>
              <w:t xml:space="preserve">(1) </w:t>
            </w:r>
          </w:p>
        </w:tc>
        <w:tc>
          <w:tcPr>
            <w:tcW w:w="991" w:type="dxa"/>
            <w:shd w:val="clear" w:color="auto" w:fill="auto"/>
            <w:hideMark/>
          </w:tcPr>
          <w:p w:rsidR="007440C5" w:rsidRPr="007440C5" w:rsidRDefault="007440C5" w:rsidP="00823130">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Parent</w:t>
            </w:r>
            <w:r w:rsidR="00823130">
              <w:rPr>
                <w:rFonts w:ascii="Arial Narrow" w:eastAsia="Times New Roman" w:hAnsi="Arial Narrow" w:cs="Times New Roman"/>
                <w:b/>
                <w:bCs/>
                <w:color w:val="000000"/>
                <w:sz w:val="18"/>
                <w:szCs w:val="18"/>
                <w:lang w:eastAsia="en-GB"/>
              </w:rPr>
              <w:t>s’</w:t>
            </w:r>
            <w:r w:rsidRPr="007440C5">
              <w:rPr>
                <w:rFonts w:ascii="Arial Narrow" w:eastAsia="Times New Roman" w:hAnsi="Arial Narrow" w:cs="Times New Roman"/>
                <w:b/>
                <w:bCs/>
                <w:color w:val="000000"/>
                <w:sz w:val="18"/>
                <w:szCs w:val="18"/>
                <w:lang w:eastAsia="en-GB"/>
              </w:rPr>
              <w:t xml:space="preserve">/ Own home  (2)  </w:t>
            </w:r>
          </w:p>
        </w:tc>
        <w:tc>
          <w:tcPr>
            <w:tcW w:w="840" w:type="dxa"/>
            <w:shd w:val="clear" w:color="auto" w:fill="auto"/>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Outside Bradford</w:t>
            </w:r>
            <w:r w:rsidRPr="007440C5">
              <w:rPr>
                <w:rFonts w:ascii="Arial Narrow" w:eastAsia="Times New Roman" w:hAnsi="Arial Narrow" w:cs="Times New Roman"/>
                <w:b/>
                <w:bCs/>
                <w:color w:val="000000"/>
                <w:sz w:val="18"/>
                <w:szCs w:val="18"/>
                <w:lang w:eastAsia="en-GB"/>
              </w:rPr>
              <w:br/>
              <w:t>(2)</w:t>
            </w:r>
          </w:p>
        </w:tc>
        <w:tc>
          <w:tcPr>
            <w:tcW w:w="1004" w:type="dxa"/>
            <w:shd w:val="clear" w:color="auto" w:fill="auto"/>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Residentia</w:t>
            </w:r>
            <w:r w:rsidR="00823130">
              <w:rPr>
                <w:rFonts w:ascii="Arial Narrow" w:eastAsia="Times New Roman" w:hAnsi="Arial Narrow" w:cs="Times New Roman"/>
                <w:b/>
                <w:bCs/>
                <w:color w:val="000000"/>
                <w:sz w:val="18"/>
                <w:szCs w:val="18"/>
                <w:lang w:eastAsia="en-GB"/>
              </w:rPr>
              <w:t>l n</w:t>
            </w:r>
            <w:r w:rsidRPr="007440C5">
              <w:rPr>
                <w:rFonts w:ascii="Arial Narrow" w:eastAsia="Times New Roman" w:hAnsi="Arial Narrow" w:cs="Times New Roman"/>
                <w:b/>
                <w:bCs/>
                <w:color w:val="000000"/>
                <w:sz w:val="18"/>
                <w:szCs w:val="18"/>
                <w:lang w:eastAsia="en-GB"/>
              </w:rPr>
              <w:t>eed</w:t>
            </w:r>
          </w:p>
        </w:tc>
        <w:tc>
          <w:tcPr>
            <w:tcW w:w="850" w:type="dxa"/>
            <w:shd w:val="clear" w:color="auto" w:fill="auto"/>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Existing/ planned  PBSA</w:t>
            </w:r>
            <w:r w:rsidRPr="007440C5">
              <w:rPr>
                <w:rFonts w:ascii="Arial Narrow" w:eastAsia="Times New Roman" w:hAnsi="Arial Narrow" w:cs="Times New Roman"/>
                <w:b/>
                <w:bCs/>
                <w:color w:val="000000"/>
                <w:sz w:val="18"/>
                <w:szCs w:val="18"/>
                <w:lang w:eastAsia="en-GB"/>
              </w:rPr>
              <w:br/>
            </w:r>
            <w:r w:rsidRPr="007440C5">
              <w:rPr>
                <w:rFonts w:ascii="Arial Narrow" w:eastAsia="Times New Roman" w:hAnsi="Arial Narrow" w:cs="Times New Roman"/>
                <w:color w:val="000000"/>
                <w:sz w:val="18"/>
                <w:szCs w:val="18"/>
                <w:lang w:eastAsia="en-GB"/>
              </w:rPr>
              <w:t>(2)</w:t>
            </w:r>
          </w:p>
        </w:tc>
        <w:tc>
          <w:tcPr>
            <w:tcW w:w="851" w:type="dxa"/>
            <w:shd w:val="clear" w:color="auto" w:fill="auto"/>
            <w:hideMark/>
          </w:tcPr>
          <w:p w:rsidR="007440C5" w:rsidRPr="007440C5" w:rsidRDefault="00823130" w:rsidP="007440C5">
            <w:pPr>
              <w:spacing w:after="0" w:line="240" w:lineRule="auto"/>
              <w:jc w:val="center"/>
              <w:rPr>
                <w:rFonts w:ascii="Arial Narrow" w:eastAsia="Times New Roman" w:hAnsi="Arial Narrow" w:cs="Times New Roman"/>
                <w:b/>
                <w:bCs/>
                <w:color w:val="000000"/>
                <w:sz w:val="18"/>
                <w:szCs w:val="18"/>
                <w:lang w:eastAsia="en-GB"/>
              </w:rPr>
            </w:pPr>
            <w:r>
              <w:rPr>
                <w:rFonts w:ascii="Arial Narrow" w:eastAsia="Times New Roman" w:hAnsi="Arial Narrow" w:cs="Times New Roman"/>
                <w:b/>
                <w:bCs/>
                <w:color w:val="000000"/>
                <w:sz w:val="18"/>
                <w:szCs w:val="18"/>
                <w:lang w:eastAsia="en-GB"/>
              </w:rPr>
              <w:t>Off-street s</w:t>
            </w:r>
            <w:r w:rsidR="007440C5" w:rsidRPr="007440C5">
              <w:rPr>
                <w:rFonts w:ascii="Arial Narrow" w:eastAsia="Times New Roman" w:hAnsi="Arial Narrow" w:cs="Times New Roman"/>
                <w:b/>
                <w:bCs/>
                <w:color w:val="000000"/>
                <w:sz w:val="18"/>
                <w:szCs w:val="18"/>
                <w:lang w:eastAsia="en-GB"/>
              </w:rPr>
              <w:t xml:space="preserve">hared PRS housing </w:t>
            </w:r>
            <w:r w:rsidR="007440C5" w:rsidRPr="007440C5">
              <w:rPr>
                <w:rFonts w:ascii="Arial Narrow" w:eastAsia="Times New Roman" w:hAnsi="Arial Narrow" w:cs="Times New Roman"/>
                <w:b/>
                <w:bCs/>
                <w:color w:val="000000"/>
                <w:sz w:val="18"/>
                <w:szCs w:val="18"/>
                <w:lang w:eastAsia="en-GB"/>
              </w:rPr>
              <w:br/>
            </w:r>
            <w:r w:rsidR="007440C5" w:rsidRPr="007440C5">
              <w:rPr>
                <w:rFonts w:ascii="Arial Narrow" w:eastAsia="Times New Roman" w:hAnsi="Arial Narrow" w:cs="Times New Roman"/>
                <w:color w:val="000000"/>
                <w:sz w:val="18"/>
                <w:szCs w:val="18"/>
                <w:lang w:eastAsia="en-GB"/>
              </w:rPr>
              <w:t>(3)</w:t>
            </w:r>
          </w:p>
        </w:tc>
        <w:tc>
          <w:tcPr>
            <w:tcW w:w="992" w:type="dxa"/>
            <w:shd w:val="clear" w:color="auto" w:fill="auto"/>
            <w:hideMark/>
          </w:tcPr>
          <w:p w:rsidR="007440C5" w:rsidRPr="007440C5" w:rsidRDefault="00823130" w:rsidP="007440C5">
            <w:pPr>
              <w:spacing w:after="0" w:line="240" w:lineRule="auto"/>
              <w:jc w:val="center"/>
              <w:rPr>
                <w:rFonts w:ascii="Arial Narrow" w:eastAsia="Times New Roman" w:hAnsi="Arial Narrow" w:cs="Times New Roman"/>
                <w:b/>
                <w:bCs/>
                <w:color w:val="000000"/>
                <w:sz w:val="18"/>
                <w:szCs w:val="18"/>
                <w:lang w:eastAsia="en-GB"/>
              </w:rPr>
            </w:pPr>
            <w:r>
              <w:rPr>
                <w:rFonts w:ascii="Arial Narrow" w:eastAsia="Times New Roman" w:hAnsi="Arial Narrow" w:cs="Times New Roman"/>
                <w:b/>
                <w:bCs/>
                <w:color w:val="000000"/>
                <w:sz w:val="18"/>
                <w:szCs w:val="18"/>
                <w:lang w:eastAsia="en-GB"/>
              </w:rPr>
              <w:t>City centre private rented f</w:t>
            </w:r>
            <w:r w:rsidR="007440C5" w:rsidRPr="007440C5">
              <w:rPr>
                <w:rFonts w:ascii="Arial Narrow" w:eastAsia="Times New Roman" w:hAnsi="Arial Narrow" w:cs="Times New Roman"/>
                <w:b/>
                <w:bCs/>
                <w:color w:val="000000"/>
                <w:sz w:val="18"/>
                <w:szCs w:val="18"/>
                <w:lang w:eastAsia="en-GB"/>
              </w:rPr>
              <w:t xml:space="preserve">lats </w:t>
            </w:r>
            <w:r w:rsidR="007440C5" w:rsidRPr="007440C5">
              <w:rPr>
                <w:rFonts w:ascii="Arial Narrow" w:eastAsia="Times New Roman" w:hAnsi="Arial Narrow" w:cs="Times New Roman"/>
                <w:color w:val="000000"/>
                <w:sz w:val="18"/>
                <w:szCs w:val="18"/>
                <w:lang w:eastAsia="en-GB"/>
              </w:rPr>
              <w:t>(3)</w:t>
            </w:r>
          </w:p>
        </w:tc>
        <w:tc>
          <w:tcPr>
            <w:tcW w:w="874" w:type="dxa"/>
            <w:shd w:val="clear" w:color="auto" w:fill="auto"/>
            <w:hideMark/>
          </w:tcPr>
          <w:p w:rsidR="007440C5" w:rsidRPr="007440C5" w:rsidRDefault="00823130" w:rsidP="007440C5">
            <w:pPr>
              <w:spacing w:after="0" w:line="240" w:lineRule="auto"/>
              <w:jc w:val="center"/>
              <w:rPr>
                <w:rFonts w:ascii="Arial Narrow" w:eastAsia="Times New Roman" w:hAnsi="Arial Narrow" w:cs="Times New Roman"/>
                <w:b/>
                <w:bCs/>
                <w:color w:val="000000"/>
                <w:sz w:val="18"/>
                <w:szCs w:val="18"/>
                <w:lang w:eastAsia="en-GB"/>
              </w:rPr>
            </w:pPr>
            <w:r>
              <w:rPr>
                <w:rFonts w:ascii="Arial Narrow" w:eastAsia="Times New Roman" w:hAnsi="Arial Narrow" w:cs="Times New Roman"/>
                <w:b/>
                <w:bCs/>
                <w:color w:val="000000"/>
                <w:sz w:val="18"/>
                <w:szCs w:val="18"/>
                <w:lang w:eastAsia="en-GB"/>
              </w:rPr>
              <w:t>Total s</w:t>
            </w:r>
            <w:r w:rsidR="007440C5" w:rsidRPr="007440C5">
              <w:rPr>
                <w:rFonts w:ascii="Arial Narrow" w:eastAsia="Times New Roman" w:hAnsi="Arial Narrow" w:cs="Times New Roman"/>
                <w:b/>
                <w:bCs/>
                <w:color w:val="000000"/>
                <w:sz w:val="18"/>
                <w:szCs w:val="18"/>
                <w:lang w:eastAsia="en-GB"/>
              </w:rPr>
              <w:t xml:space="preserve">urplus/ </w:t>
            </w:r>
            <w:r>
              <w:rPr>
                <w:rFonts w:ascii="Arial Narrow" w:eastAsia="Times New Roman" w:hAnsi="Arial Narrow" w:cs="Times New Roman"/>
                <w:b/>
                <w:bCs/>
                <w:color w:val="FF0000"/>
                <w:sz w:val="18"/>
                <w:szCs w:val="18"/>
                <w:lang w:eastAsia="en-GB"/>
              </w:rPr>
              <w:t>s</w:t>
            </w:r>
            <w:r w:rsidR="007440C5" w:rsidRPr="007440C5">
              <w:rPr>
                <w:rFonts w:ascii="Arial Narrow" w:eastAsia="Times New Roman" w:hAnsi="Arial Narrow" w:cs="Times New Roman"/>
                <w:b/>
                <w:bCs/>
                <w:color w:val="FF0000"/>
                <w:sz w:val="18"/>
                <w:szCs w:val="18"/>
                <w:lang w:eastAsia="en-GB"/>
              </w:rPr>
              <w:t>hortage</w:t>
            </w:r>
          </w:p>
        </w:tc>
      </w:tr>
      <w:tr w:rsidR="007440C5" w:rsidRPr="007440C5" w:rsidTr="00BB288F">
        <w:trPr>
          <w:trHeight w:val="255"/>
        </w:trPr>
        <w:tc>
          <w:tcPr>
            <w:tcW w:w="1276"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2013/14</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11</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155</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3,428</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3,333</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4,394</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4,350</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1,734</w:t>
            </w:r>
          </w:p>
        </w:tc>
      </w:tr>
      <w:tr w:rsidR="007440C5" w:rsidRPr="007440C5" w:rsidTr="00BB288F">
        <w:trPr>
          <w:trHeight w:val="255"/>
        </w:trPr>
        <w:tc>
          <w:tcPr>
            <w:tcW w:w="1276"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2014/15</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10</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086</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3,224</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3,099</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3,763</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2,487</w:t>
            </w:r>
          </w:p>
        </w:tc>
      </w:tr>
      <w:tr w:rsidR="007440C5" w:rsidRPr="007440C5" w:rsidTr="00BB288F">
        <w:trPr>
          <w:trHeight w:val="255"/>
        </w:trPr>
        <w:tc>
          <w:tcPr>
            <w:tcW w:w="1276"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2015/16</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10</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136</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3,239</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3,114</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3,783</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2,467</w:t>
            </w:r>
          </w:p>
        </w:tc>
      </w:tr>
      <w:tr w:rsidR="007440C5" w:rsidRPr="007440C5" w:rsidTr="00BB288F">
        <w:trPr>
          <w:trHeight w:val="255"/>
        </w:trPr>
        <w:tc>
          <w:tcPr>
            <w:tcW w:w="1276"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2016/17</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10</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408</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3,322</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3,088</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3,998</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2,252</w:t>
            </w:r>
          </w:p>
        </w:tc>
      </w:tr>
      <w:tr w:rsidR="007440C5" w:rsidRPr="007440C5" w:rsidTr="00BB288F">
        <w:trPr>
          <w:trHeight w:val="255"/>
        </w:trPr>
        <w:tc>
          <w:tcPr>
            <w:tcW w:w="1276"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2017/18</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10</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662</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3,399</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3,272</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3,991</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2,259</w:t>
            </w:r>
          </w:p>
        </w:tc>
      </w:tr>
      <w:tr w:rsidR="007440C5" w:rsidRPr="007440C5" w:rsidTr="00BB288F">
        <w:trPr>
          <w:trHeight w:val="255"/>
        </w:trPr>
        <w:tc>
          <w:tcPr>
            <w:tcW w:w="1276"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2108/19</w:t>
            </w:r>
          </w:p>
        </w:tc>
        <w:tc>
          <w:tcPr>
            <w:tcW w:w="113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10</w:t>
            </w:r>
            <w:r w:rsidR="00DF5643">
              <w:rPr>
                <w:rFonts w:ascii="Arial Narrow" w:eastAsia="Times New Roman" w:hAnsi="Arial Narrow" w:cs="Times New Roman"/>
                <w:color w:val="000000"/>
                <w:sz w:val="18"/>
                <w:szCs w:val="18"/>
                <w:lang w:eastAsia="en-GB"/>
              </w:rPr>
              <w:t>,</w:t>
            </w:r>
            <w:r w:rsidRPr="007440C5">
              <w:rPr>
                <w:rFonts w:ascii="Arial Narrow" w:eastAsia="Times New Roman" w:hAnsi="Arial Narrow" w:cs="Times New Roman"/>
                <w:color w:val="000000"/>
                <w:sz w:val="18"/>
                <w:szCs w:val="18"/>
                <w:lang w:eastAsia="en-GB"/>
              </w:rPr>
              <w:t>987</w:t>
            </w:r>
          </w:p>
        </w:tc>
        <w:tc>
          <w:tcPr>
            <w:tcW w:w="99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3,498</w:t>
            </w:r>
          </w:p>
        </w:tc>
        <w:tc>
          <w:tcPr>
            <w:tcW w:w="840"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3,389</w:t>
            </w:r>
          </w:p>
        </w:tc>
        <w:tc>
          <w:tcPr>
            <w:tcW w:w="1004"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4,100</w:t>
            </w:r>
          </w:p>
        </w:tc>
        <w:tc>
          <w:tcPr>
            <w:tcW w:w="850"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4,472</w:t>
            </w:r>
          </w:p>
        </w:tc>
        <w:tc>
          <w:tcPr>
            <w:tcW w:w="851"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1,419</w:t>
            </w:r>
          </w:p>
        </w:tc>
        <w:tc>
          <w:tcPr>
            <w:tcW w:w="992" w:type="dxa"/>
            <w:shd w:val="clear" w:color="auto" w:fill="auto"/>
            <w:noWrap/>
            <w:vAlign w:val="bottom"/>
            <w:hideMark/>
          </w:tcPr>
          <w:p w:rsidR="007440C5" w:rsidRPr="007440C5" w:rsidRDefault="007440C5" w:rsidP="007440C5">
            <w:pPr>
              <w:spacing w:after="0" w:line="240" w:lineRule="auto"/>
              <w:jc w:val="center"/>
              <w:rPr>
                <w:rFonts w:ascii="Arial Narrow" w:eastAsia="Times New Roman" w:hAnsi="Arial Narrow" w:cs="Times New Roman"/>
                <w:color w:val="000000"/>
                <w:sz w:val="18"/>
                <w:szCs w:val="18"/>
                <w:lang w:eastAsia="en-GB"/>
              </w:rPr>
            </w:pPr>
            <w:r w:rsidRPr="007440C5">
              <w:rPr>
                <w:rFonts w:ascii="Arial Narrow" w:eastAsia="Times New Roman" w:hAnsi="Arial Narrow" w:cs="Times New Roman"/>
                <w:color w:val="000000"/>
                <w:sz w:val="18"/>
                <w:szCs w:val="18"/>
                <w:lang w:eastAsia="en-GB"/>
              </w:rPr>
              <w:t>359</w:t>
            </w:r>
          </w:p>
        </w:tc>
        <w:tc>
          <w:tcPr>
            <w:tcW w:w="874" w:type="dxa"/>
            <w:shd w:val="clear" w:color="auto" w:fill="auto"/>
            <w:vAlign w:val="center"/>
            <w:hideMark/>
          </w:tcPr>
          <w:p w:rsidR="007440C5" w:rsidRPr="007440C5" w:rsidRDefault="007440C5" w:rsidP="007440C5">
            <w:pPr>
              <w:spacing w:after="0" w:line="240" w:lineRule="auto"/>
              <w:jc w:val="center"/>
              <w:rPr>
                <w:rFonts w:ascii="Arial Narrow" w:eastAsia="Times New Roman" w:hAnsi="Arial Narrow" w:cs="Times New Roman"/>
                <w:b/>
                <w:bCs/>
                <w:color w:val="000000"/>
                <w:sz w:val="18"/>
                <w:szCs w:val="18"/>
                <w:lang w:eastAsia="en-GB"/>
              </w:rPr>
            </w:pPr>
            <w:r w:rsidRPr="007440C5">
              <w:rPr>
                <w:rFonts w:ascii="Arial Narrow" w:eastAsia="Times New Roman" w:hAnsi="Arial Narrow" w:cs="Times New Roman"/>
                <w:b/>
                <w:bCs/>
                <w:color w:val="000000"/>
                <w:sz w:val="18"/>
                <w:szCs w:val="18"/>
                <w:lang w:eastAsia="en-GB"/>
              </w:rPr>
              <w:t>2,150</w:t>
            </w:r>
          </w:p>
        </w:tc>
      </w:tr>
    </w:tbl>
    <w:p w:rsidR="007440C5" w:rsidRPr="00823130" w:rsidRDefault="007440C5" w:rsidP="007440C5">
      <w:pPr>
        <w:ind w:firstLine="720"/>
        <w:rPr>
          <w:color w:val="FF0000"/>
          <w:sz w:val="18"/>
          <w:szCs w:val="18"/>
        </w:rPr>
      </w:pPr>
      <w:r w:rsidRPr="007440C5">
        <w:rPr>
          <w:i/>
          <w:sz w:val="16"/>
        </w:rPr>
        <w:t xml:space="preserve"> </w:t>
      </w:r>
      <w:r w:rsidR="00823130">
        <w:rPr>
          <w:sz w:val="18"/>
          <w:szCs w:val="18"/>
        </w:rPr>
        <w:t>(</w:t>
      </w:r>
      <w:r w:rsidRPr="00823130">
        <w:rPr>
          <w:i/>
          <w:sz w:val="18"/>
          <w:szCs w:val="18"/>
        </w:rPr>
        <w:t>Source:  University of Bradford student numbers and student addre</w:t>
      </w:r>
      <w:r w:rsidR="00DF5643">
        <w:rPr>
          <w:i/>
          <w:sz w:val="18"/>
          <w:szCs w:val="18"/>
        </w:rPr>
        <w:t>ss data 2014; Bradford College a</w:t>
      </w:r>
      <w:r w:rsidRPr="00823130">
        <w:rPr>
          <w:i/>
          <w:sz w:val="18"/>
          <w:szCs w:val="18"/>
        </w:rPr>
        <w:t>ddress data 2014</w:t>
      </w:r>
      <w:r w:rsidR="00823130">
        <w:rPr>
          <w:sz w:val="18"/>
          <w:szCs w:val="18"/>
        </w:rPr>
        <w:t>)</w:t>
      </w:r>
    </w:p>
    <w:p w:rsidR="007440C5" w:rsidRPr="007440C5" w:rsidRDefault="007440C5" w:rsidP="007440C5">
      <w:pPr>
        <w:spacing w:after="0"/>
        <w:ind w:left="720"/>
        <w:rPr>
          <w:rFonts w:ascii="Arial Narrow" w:hAnsi="Arial Narrow"/>
          <w:color w:val="000000"/>
          <w:sz w:val="16"/>
          <w:szCs w:val="20"/>
        </w:rPr>
      </w:pPr>
      <w:r w:rsidRPr="00823130">
        <w:rPr>
          <w:color w:val="000000"/>
          <w:sz w:val="18"/>
          <w:szCs w:val="18"/>
        </w:rPr>
        <w:t>(</w:t>
      </w:r>
      <w:r w:rsidRPr="007440C5">
        <w:rPr>
          <w:rFonts w:ascii="Arial Narrow" w:hAnsi="Arial Narrow"/>
          <w:color w:val="000000"/>
          <w:sz w:val="16"/>
          <w:szCs w:val="20"/>
        </w:rPr>
        <w:t xml:space="preserve">1)  Based on actual HE students at Bradford College for 2013/14, then assumed constant for next </w:t>
      </w:r>
      <w:r w:rsidR="00DF5643">
        <w:rPr>
          <w:rFonts w:ascii="Arial Narrow" w:hAnsi="Arial Narrow"/>
          <w:color w:val="000000"/>
          <w:sz w:val="16"/>
          <w:szCs w:val="20"/>
        </w:rPr>
        <w:t>five</w:t>
      </w:r>
      <w:r w:rsidRPr="007440C5">
        <w:rPr>
          <w:rFonts w:ascii="Arial Narrow" w:hAnsi="Arial Narrow"/>
          <w:color w:val="000000"/>
          <w:sz w:val="16"/>
          <w:szCs w:val="20"/>
        </w:rPr>
        <w:t xml:space="preserve"> years, plus projected students at University of Bradford</w:t>
      </w:r>
    </w:p>
    <w:p w:rsidR="007440C5" w:rsidRPr="007440C5" w:rsidRDefault="007440C5" w:rsidP="007440C5">
      <w:pPr>
        <w:spacing w:after="0"/>
        <w:ind w:left="720"/>
        <w:rPr>
          <w:rFonts w:ascii="Arial Narrow" w:hAnsi="Arial Narrow"/>
          <w:color w:val="000000"/>
          <w:sz w:val="16"/>
          <w:szCs w:val="20"/>
        </w:rPr>
      </w:pPr>
      <w:r w:rsidRPr="007440C5">
        <w:rPr>
          <w:rFonts w:ascii="Arial Narrow" w:hAnsi="Arial Narrow"/>
          <w:color w:val="000000"/>
          <w:sz w:val="16"/>
          <w:szCs w:val="20"/>
        </w:rPr>
        <w:t>(2)  Based on address records for University of Bradford and Bradford College students</w:t>
      </w:r>
    </w:p>
    <w:p w:rsidR="007440C5" w:rsidRPr="007440C5" w:rsidRDefault="007440C5" w:rsidP="007440C5">
      <w:pPr>
        <w:spacing w:after="0"/>
        <w:ind w:left="720"/>
        <w:rPr>
          <w:rFonts w:ascii="Arial Narrow" w:hAnsi="Arial Narrow"/>
          <w:color w:val="000000"/>
          <w:sz w:val="16"/>
          <w:szCs w:val="20"/>
        </w:rPr>
      </w:pPr>
      <w:r w:rsidRPr="007440C5">
        <w:rPr>
          <w:rFonts w:ascii="Arial Narrow" w:hAnsi="Arial Narrow"/>
          <w:color w:val="000000"/>
          <w:sz w:val="16"/>
          <w:szCs w:val="20"/>
        </w:rPr>
        <w:t>(3)  I</w:t>
      </w:r>
      <w:r w:rsidR="00DF5643">
        <w:rPr>
          <w:rFonts w:ascii="Arial Narrow" w:hAnsi="Arial Narrow"/>
          <w:color w:val="000000"/>
          <w:sz w:val="16"/>
          <w:szCs w:val="20"/>
        </w:rPr>
        <w:t>ncludes</w:t>
      </w:r>
      <w:r w:rsidRPr="007440C5">
        <w:rPr>
          <w:rFonts w:ascii="Arial Narrow" w:hAnsi="Arial Narrow"/>
          <w:color w:val="000000"/>
          <w:sz w:val="16"/>
          <w:szCs w:val="20"/>
        </w:rPr>
        <w:t xml:space="preserve"> 365 empty bed</w:t>
      </w:r>
      <w:r w:rsidR="00DF5643">
        <w:rPr>
          <w:rFonts w:ascii="Arial Narrow" w:hAnsi="Arial Narrow"/>
          <w:color w:val="000000"/>
          <w:sz w:val="16"/>
          <w:szCs w:val="20"/>
        </w:rPr>
        <w:t xml:space="preserve"> </w:t>
      </w:r>
      <w:r w:rsidRPr="007440C5">
        <w:rPr>
          <w:rFonts w:ascii="Arial Narrow" w:hAnsi="Arial Narrow"/>
          <w:color w:val="000000"/>
          <w:sz w:val="16"/>
          <w:szCs w:val="20"/>
        </w:rPr>
        <w:t>spaces</w:t>
      </w:r>
      <w:r w:rsidR="00DF5643">
        <w:rPr>
          <w:rFonts w:ascii="Arial Narrow" w:hAnsi="Arial Narrow"/>
          <w:color w:val="000000"/>
          <w:sz w:val="16"/>
          <w:szCs w:val="20"/>
        </w:rPr>
        <w:t xml:space="preserve"> </w:t>
      </w:r>
      <w:r w:rsidRPr="007440C5">
        <w:rPr>
          <w:rFonts w:ascii="Arial Narrow" w:hAnsi="Arial Narrow"/>
          <w:color w:val="000000"/>
          <w:sz w:val="16"/>
          <w:szCs w:val="20"/>
        </w:rPr>
        <w:t>as recorded on Unipol database, split 80</w:t>
      </w:r>
      <w:r w:rsidR="00DF5643">
        <w:rPr>
          <w:rFonts w:ascii="Arial Narrow" w:hAnsi="Arial Narrow"/>
          <w:color w:val="000000"/>
          <w:sz w:val="16"/>
          <w:szCs w:val="20"/>
        </w:rPr>
        <w:t xml:space="preserve"> per cent</w:t>
      </w:r>
      <w:r w:rsidRPr="007440C5">
        <w:rPr>
          <w:rFonts w:ascii="Arial Narrow" w:hAnsi="Arial Narrow"/>
          <w:color w:val="000000"/>
          <w:sz w:val="16"/>
          <w:szCs w:val="20"/>
        </w:rPr>
        <w:t xml:space="preserve"> off</w:t>
      </w:r>
      <w:r w:rsidR="00DF5643">
        <w:rPr>
          <w:rFonts w:ascii="Arial Narrow" w:hAnsi="Arial Narrow"/>
          <w:color w:val="000000"/>
          <w:sz w:val="16"/>
          <w:szCs w:val="20"/>
        </w:rPr>
        <w:t>-</w:t>
      </w:r>
      <w:r w:rsidRPr="007440C5">
        <w:rPr>
          <w:rFonts w:ascii="Arial Narrow" w:hAnsi="Arial Narrow"/>
          <w:color w:val="000000"/>
          <w:sz w:val="16"/>
          <w:szCs w:val="20"/>
        </w:rPr>
        <w:t xml:space="preserve">street </w:t>
      </w:r>
      <w:r w:rsidR="00DF5643">
        <w:rPr>
          <w:rFonts w:ascii="Arial Narrow" w:hAnsi="Arial Narrow"/>
          <w:color w:val="000000"/>
          <w:sz w:val="16"/>
          <w:szCs w:val="20"/>
        </w:rPr>
        <w:t>a</w:t>
      </w:r>
      <w:r w:rsidRPr="007440C5">
        <w:rPr>
          <w:rFonts w:ascii="Arial Narrow" w:hAnsi="Arial Narrow"/>
          <w:color w:val="000000"/>
          <w:sz w:val="16"/>
          <w:szCs w:val="20"/>
        </w:rPr>
        <w:t>nd 20</w:t>
      </w:r>
      <w:r w:rsidR="00DF5643">
        <w:rPr>
          <w:rFonts w:ascii="Arial Narrow" w:hAnsi="Arial Narrow"/>
          <w:color w:val="000000"/>
          <w:sz w:val="16"/>
          <w:szCs w:val="20"/>
        </w:rPr>
        <w:t xml:space="preserve"> per cent</w:t>
      </w:r>
      <w:r w:rsidRPr="007440C5">
        <w:rPr>
          <w:rFonts w:ascii="Arial Narrow" w:hAnsi="Arial Narrow"/>
          <w:color w:val="000000"/>
          <w:sz w:val="16"/>
          <w:szCs w:val="20"/>
        </w:rPr>
        <w:t xml:space="preserve"> city centre</w:t>
      </w:r>
    </w:p>
    <w:p w:rsidR="00DF5643" w:rsidRPr="00802450" w:rsidRDefault="007440C5" w:rsidP="00DF5643">
      <w:pPr>
        <w:spacing w:before="120" w:after="0" w:line="288" w:lineRule="auto"/>
        <w:ind w:left="720" w:hanging="720"/>
      </w:pPr>
      <w:r w:rsidRPr="007440C5">
        <w:t>5.2.5</w:t>
      </w:r>
      <w:r w:rsidRPr="007440C5">
        <w:tab/>
      </w:r>
      <w:r w:rsidR="00DF5643" w:rsidRPr="00802450">
        <w:t>It is likely that this level of surplus cannot be sustained and some provision may fail completely or get close to being unviable. The University (and the College) may need to drive this process more proactively in order to ensure that there is an accommodation offer in place offering quality and choice to prospective students that will help the University and the College to compete from a position of strength in the student market.</w:t>
      </w:r>
    </w:p>
    <w:p w:rsidR="007440C5" w:rsidRPr="007440C5" w:rsidRDefault="007440C5" w:rsidP="007440C5">
      <w:pPr>
        <w:spacing w:before="120" w:after="0" w:line="288" w:lineRule="auto"/>
        <w:rPr>
          <w:i/>
        </w:rPr>
      </w:pPr>
      <w:r w:rsidRPr="007440C5">
        <w:rPr>
          <w:b/>
        </w:rPr>
        <w:t>5.3</w:t>
      </w:r>
      <w:r w:rsidRPr="007440C5">
        <w:rPr>
          <w:b/>
        </w:rPr>
        <w:tab/>
        <w:t>Implications of residen</w:t>
      </w:r>
      <w:r w:rsidR="00DF5643">
        <w:rPr>
          <w:b/>
        </w:rPr>
        <w:t xml:space="preserve">tial patterns </w:t>
      </w:r>
      <w:r w:rsidRPr="007440C5">
        <w:rPr>
          <w:b/>
        </w:rPr>
        <w:t>for private providers of PBSA</w:t>
      </w:r>
    </w:p>
    <w:p w:rsidR="007440C5" w:rsidRPr="007440C5" w:rsidRDefault="007440C5" w:rsidP="007440C5">
      <w:pPr>
        <w:spacing w:before="120" w:after="0" w:line="288" w:lineRule="auto"/>
        <w:ind w:left="720" w:hanging="720"/>
      </w:pPr>
      <w:r w:rsidRPr="007440C5">
        <w:t>5.3.1</w:t>
      </w:r>
      <w:r w:rsidRPr="007440C5">
        <w:tab/>
        <w:t xml:space="preserve">The findings above show variable fortunes for private providers of student accommodation.  </w:t>
      </w:r>
      <w:r w:rsidR="00DF5643">
        <w:t>They</w:t>
      </w:r>
      <w:r w:rsidRPr="007440C5">
        <w:t xml:space="preserve"> still accommodate 40 per cent of all students in Bradford, but that demand has reduced from over a half in 2009 and is spread across almost 20 different provisions. Some providers are achieving  reasonably high occupancy rates (</w:t>
      </w:r>
      <w:proofErr w:type="spellStart"/>
      <w:r w:rsidRPr="007440C5">
        <w:t>Kexgill</w:t>
      </w:r>
      <w:proofErr w:type="spellEnd"/>
      <w:r w:rsidRPr="007440C5">
        <w:t xml:space="preserve">, Arkwright Hall, </w:t>
      </w:r>
      <w:proofErr w:type="spellStart"/>
      <w:r w:rsidRPr="007440C5">
        <w:t>W</w:t>
      </w:r>
      <w:r w:rsidR="002C7FD2">
        <w:t>ardsley</w:t>
      </w:r>
      <w:proofErr w:type="spellEnd"/>
      <w:r w:rsidR="002C7FD2">
        <w:t xml:space="preserve"> House and Forster Hall)</w:t>
      </w:r>
      <w:r w:rsidRPr="007440C5">
        <w:t>, but others are runn</w:t>
      </w:r>
      <w:r w:rsidR="002C7FD2">
        <w:t>ing at occupancy rates of under</w:t>
      </w:r>
      <w:r w:rsidRPr="007440C5">
        <w:t>, and sometimes well under, 50</w:t>
      </w:r>
      <w:r w:rsidR="00DF5643">
        <w:t xml:space="preserve"> per cent</w:t>
      </w:r>
      <w:r w:rsidRPr="007440C5">
        <w:t xml:space="preserve"> (</w:t>
      </w:r>
      <w:proofErr w:type="spellStart"/>
      <w:r w:rsidRPr="007440C5">
        <w:t>Laister</w:t>
      </w:r>
      <w:r w:rsidR="002C7FD2">
        <w:t>idge</w:t>
      </w:r>
      <w:proofErr w:type="spellEnd"/>
      <w:r w:rsidR="002C7FD2">
        <w:t xml:space="preserve"> Lane, </w:t>
      </w:r>
      <w:proofErr w:type="spellStart"/>
      <w:r w:rsidR="002C7FD2">
        <w:t>Haria</w:t>
      </w:r>
      <w:proofErr w:type="spellEnd"/>
      <w:r w:rsidR="002C7FD2">
        <w:t xml:space="preserve"> House/Tower </w:t>
      </w:r>
      <w:r w:rsidRPr="007440C5">
        <w:t>a</w:t>
      </w:r>
      <w:r w:rsidR="00DF5643">
        <w:t xml:space="preserve">nd some of the new city centre </w:t>
      </w:r>
      <w:r w:rsidRPr="007440C5">
        <w:t>studio/pod developments)</w:t>
      </w:r>
      <w:r w:rsidR="002C7FD2">
        <w:t>.</w:t>
      </w:r>
    </w:p>
    <w:p w:rsidR="00DF5643" w:rsidRPr="00802450" w:rsidRDefault="007440C5" w:rsidP="00DF5643">
      <w:pPr>
        <w:spacing w:before="120" w:after="0" w:line="288" w:lineRule="auto"/>
        <w:ind w:left="720" w:hanging="720"/>
      </w:pPr>
      <w:r w:rsidRPr="007440C5">
        <w:t>5.3.2</w:t>
      </w:r>
      <w:r w:rsidRPr="007440C5">
        <w:tab/>
      </w:r>
      <w:r w:rsidR="00DF5643" w:rsidRPr="00802450">
        <w:t>Given that student numbers overall in Bradford are unlikely in the medium term to increase materially, and certainly not at a r</w:t>
      </w:r>
      <w:r w:rsidR="002C7FD2">
        <w:t xml:space="preserve">ate that would take up all the </w:t>
      </w:r>
      <w:r w:rsidR="00DF5643" w:rsidRPr="00802450">
        <w:t xml:space="preserve">slack in the system currently, it is highly likely that competition among providers will intensify. </w:t>
      </w:r>
    </w:p>
    <w:p w:rsidR="007440C5" w:rsidRPr="007440C5" w:rsidRDefault="007440C5" w:rsidP="007440C5">
      <w:pPr>
        <w:spacing w:before="120" w:after="0" w:line="288" w:lineRule="auto"/>
        <w:ind w:left="720" w:hanging="720"/>
        <w:rPr>
          <w:i/>
        </w:rPr>
      </w:pPr>
      <w:r w:rsidRPr="007440C5">
        <w:lastRenderedPageBreak/>
        <w:t>5.3.3</w:t>
      </w:r>
      <w:r w:rsidRPr="007440C5">
        <w:tab/>
        <w:t>Currently just over 60 per</w:t>
      </w:r>
      <w:r w:rsidR="00DF5643">
        <w:t xml:space="preserve"> </w:t>
      </w:r>
      <w:r w:rsidRPr="007440C5">
        <w:t xml:space="preserve">cent of </w:t>
      </w:r>
      <w:r w:rsidR="00DF5643">
        <w:t>Year 1</w:t>
      </w:r>
      <w:r w:rsidRPr="007440C5">
        <w:t xml:space="preserve"> students </w:t>
      </w:r>
      <w:r w:rsidR="00DF5643">
        <w:t>attend their studies from</w:t>
      </w:r>
      <w:r w:rsidRPr="007440C5">
        <w:t xml:space="preserve"> home </w:t>
      </w:r>
      <w:r w:rsidR="00DF5643">
        <w:t>(</w:t>
      </w:r>
      <w:r w:rsidRPr="007440C5">
        <w:t>either in or outside Bradford</w:t>
      </w:r>
      <w:r w:rsidR="00DF5643">
        <w:t>)</w:t>
      </w:r>
      <w:r w:rsidRPr="007440C5">
        <w:t xml:space="preserve"> and a</w:t>
      </w:r>
      <w:r w:rsidR="00DF5643">
        <w:t xml:space="preserve"> growing</w:t>
      </w:r>
      <w:r w:rsidRPr="007440C5">
        <w:t xml:space="preserve"> proportion are choosing to take up accommodation in The Green Student Village. Th</w:t>
      </w:r>
      <w:r w:rsidR="00DF5643">
        <w:t>ese trends have</w:t>
      </w:r>
      <w:r w:rsidRPr="007440C5">
        <w:t xml:space="preserve"> left a reducing proportion of new students </w:t>
      </w:r>
      <w:r w:rsidR="00DF5643">
        <w:t>opting for</w:t>
      </w:r>
      <w:r w:rsidRPr="007440C5">
        <w:t xml:space="preserve"> accommodation offered by private providers.  </w:t>
      </w:r>
      <w:r w:rsidR="00F87CE3">
        <w:t xml:space="preserve">Increasing competition </w:t>
      </w:r>
      <w:r w:rsidR="00F87CE3" w:rsidRPr="00802450">
        <w:t>for returning students</w:t>
      </w:r>
      <w:r w:rsidR="00F87CE3">
        <w:t xml:space="preserve"> is a consequence of this</w:t>
      </w:r>
      <w:r w:rsidR="00F87CE3" w:rsidRPr="00802450">
        <w:t>.</w:t>
      </w:r>
      <w:r w:rsidR="00F87CE3">
        <w:t xml:space="preserve"> </w:t>
      </w:r>
      <w:r w:rsidRPr="007440C5">
        <w:t xml:space="preserve">While returning students in Bradford are as likely to study from home, or seek independently rented accommodation in off-street shared private rented housing, it is still the case that 44 per cent of returning students </w:t>
      </w:r>
      <w:r w:rsidR="00F87CE3">
        <w:t>decide to</w:t>
      </w:r>
      <w:r w:rsidRPr="007440C5">
        <w:t xml:space="preserve"> live in private sector PBSA compared to </w:t>
      </w:r>
      <w:r w:rsidR="00F87CE3">
        <w:t>a third</w:t>
      </w:r>
      <w:r w:rsidRPr="007440C5">
        <w:t xml:space="preserve"> choosing to live in off-street shared housing.  </w:t>
      </w:r>
    </w:p>
    <w:p w:rsidR="00F87CE3" w:rsidRDefault="007440C5" w:rsidP="00F87CE3">
      <w:pPr>
        <w:spacing w:before="120" w:after="0" w:line="288" w:lineRule="auto"/>
        <w:ind w:left="720" w:hanging="720"/>
      </w:pPr>
      <w:r w:rsidRPr="007440C5">
        <w:t>5.3.4</w:t>
      </w:r>
      <w:r w:rsidRPr="007440C5">
        <w:tab/>
      </w:r>
      <w:r w:rsidR="00F87CE3">
        <w:t xml:space="preserve">Against a background of intensifying competition from other PBSA providers (not least the University) and </w:t>
      </w:r>
      <w:r w:rsidR="00F87CE3" w:rsidRPr="00802450">
        <w:t xml:space="preserve">the off-street rented </w:t>
      </w:r>
      <w:r w:rsidR="00F87CE3">
        <w:t xml:space="preserve">sector, and in the context of an established trend of many students attending from </w:t>
      </w:r>
      <w:r w:rsidR="00F87CE3" w:rsidRPr="00802450">
        <w:t xml:space="preserve">home, </w:t>
      </w:r>
      <w:r w:rsidR="00F87CE3">
        <w:t>it is likely that it will become extremely difficult to let accommodation</w:t>
      </w:r>
      <w:r w:rsidR="00F87CE3" w:rsidRPr="00802450">
        <w:t xml:space="preserve"> </w:t>
      </w:r>
      <w:r w:rsidR="00F87CE3">
        <w:t>which:</w:t>
      </w:r>
    </w:p>
    <w:p w:rsidR="00F87CE3" w:rsidRDefault="00F87CE3" w:rsidP="00F87CE3">
      <w:pPr>
        <w:pStyle w:val="ListParagraph"/>
        <w:numPr>
          <w:ilvl w:val="1"/>
          <w:numId w:val="33"/>
        </w:numPr>
        <w:spacing w:before="120" w:after="0" w:line="288" w:lineRule="auto"/>
        <w:ind w:left="993" w:hanging="284"/>
      </w:pPr>
      <w:r w:rsidRPr="00802450">
        <w:t>is older</w:t>
      </w:r>
    </w:p>
    <w:p w:rsidR="00F87CE3" w:rsidRDefault="00F87CE3" w:rsidP="00F87CE3">
      <w:pPr>
        <w:pStyle w:val="ListParagraph"/>
        <w:numPr>
          <w:ilvl w:val="1"/>
          <w:numId w:val="33"/>
        </w:numPr>
        <w:spacing w:before="120" w:after="0" w:line="288" w:lineRule="auto"/>
        <w:ind w:left="993" w:hanging="284"/>
      </w:pPr>
      <w:r>
        <w:t xml:space="preserve">has an </w:t>
      </w:r>
      <w:r w:rsidRPr="00802450">
        <w:t xml:space="preserve">amenity </w:t>
      </w:r>
      <w:r>
        <w:t>level below students’ expectations</w:t>
      </w:r>
      <w:r w:rsidRPr="00802450">
        <w:t xml:space="preserve"> (especially provision of </w:t>
      </w:r>
      <w:proofErr w:type="spellStart"/>
      <w:r>
        <w:t>WiFi</w:t>
      </w:r>
      <w:proofErr w:type="spellEnd"/>
      <w:r w:rsidRPr="00802450">
        <w:t xml:space="preserve">, living rooms and larger beds) or </w:t>
      </w:r>
    </w:p>
    <w:p w:rsidR="00F87CE3" w:rsidRPr="00802450" w:rsidRDefault="00F87CE3" w:rsidP="00F87CE3">
      <w:pPr>
        <w:pStyle w:val="ListParagraph"/>
        <w:numPr>
          <w:ilvl w:val="1"/>
          <w:numId w:val="33"/>
        </w:numPr>
        <w:spacing w:before="120" w:after="0" w:line="288" w:lineRule="auto"/>
        <w:ind w:left="993" w:hanging="284"/>
      </w:pPr>
      <w:proofErr w:type="gramStart"/>
      <w:r w:rsidRPr="00802450">
        <w:t>is</w:t>
      </w:r>
      <w:proofErr w:type="gramEnd"/>
      <w:r w:rsidRPr="00802450">
        <w:t xml:space="preserve"> located in neighbourhoods that students consider too far from the University/Coll</w:t>
      </w:r>
      <w:r>
        <w:t>ege or from other amenities.</w:t>
      </w:r>
    </w:p>
    <w:p w:rsidR="007440C5" w:rsidRPr="007440C5" w:rsidRDefault="007440C5" w:rsidP="007440C5">
      <w:pPr>
        <w:spacing w:before="120" w:after="0" w:line="288" w:lineRule="auto"/>
        <w:ind w:left="720" w:hanging="720"/>
      </w:pPr>
      <w:r w:rsidRPr="007440C5">
        <w:t>5.3.5</w:t>
      </w:r>
      <w:r w:rsidRPr="007440C5">
        <w:tab/>
        <w:t>Private providers may</w:t>
      </w:r>
      <w:r w:rsidR="0059413B">
        <w:t>, therefore,</w:t>
      </w:r>
      <w:r w:rsidRPr="007440C5">
        <w:t xml:space="preserve"> have to consider what to do with their assets in the context of variable and likely falling demand.  </w:t>
      </w:r>
      <w:r w:rsidR="0059413B">
        <w:t>This</w:t>
      </w:r>
      <w:r w:rsidRPr="007440C5">
        <w:t xml:space="preserve"> will mean </w:t>
      </w:r>
      <w:r w:rsidR="0059413B">
        <w:t xml:space="preserve">taking </w:t>
      </w:r>
      <w:r w:rsidRPr="007440C5">
        <w:t xml:space="preserve">decisions on whether: </w:t>
      </w:r>
    </w:p>
    <w:p w:rsidR="007440C5" w:rsidRPr="007440C5" w:rsidRDefault="007440C5" w:rsidP="002C7FD2">
      <w:pPr>
        <w:numPr>
          <w:ilvl w:val="0"/>
          <w:numId w:val="25"/>
        </w:numPr>
        <w:spacing w:before="120" w:after="0" w:line="288" w:lineRule="auto"/>
        <w:ind w:left="993" w:hanging="284"/>
        <w:contextualSpacing/>
      </w:pPr>
      <w:r w:rsidRPr="007440C5">
        <w:t>to stand the costs of r</w:t>
      </w:r>
      <w:r w:rsidR="0059413B">
        <w:t xml:space="preserve">efitting and refurbishment and </w:t>
      </w:r>
      <w:r w:rsidRPr="007440C5">
        <w:t>set</w:t>
      </w:r>
      <w:r w:rsidR="0059413B">
        <w:t xml:space="preserve"> against likely income streams</w:t>
      </w:r>
    </w:p>
    <w:p w:rsidR="007440C5" w:rsidRPr="007440C5" w:rsidRDefault="007440C5" w:rsidP="002C7FD2">
      <w:pPr>
        <w:numPr>
          <w:ilvl w:val="0"/>
          <w:numId w:val="25"/>
        </w:numPr>
        <w:spacing w:before="120" w:after="0" w:line="288" w:lineRule="auto"/>
        <w:ind w:left="993" w:hanging="284"/>
        <w:contextualSpacing/>
      </w:pPr>
      <w:r w:rsidRPr="007440C5">
        <w:t>mothball provisions pending any increase in de</w:t>
      </w:r>
      <w:r w:rsidR="0059413B">
        <w:t>mand or service reconfiguration</w:t>
      </w:r>
    </w:p>
    <w:p w:rsidR="007440C5" w:rsidRPr="007440C5" w:rsidRDefault="0059413B" w:rsidP="002C7FD2">
      <w:pPr>
        <w:numPr>
          <w:ilvl w:val="0"/>
          <w:numId w:val="25"/>
        </w:numPr>
        <w:spacing w:before="120" w:after="0" w:line="288" w:lineRule="auto"/>
        <w:ind w:left="993" w:hanging="284"/>
        <w:contextualSpacing/>
      </w:pPr>
      <w:r>
        <w:t>dispose of surplus buildings</w:t>
      </w:r>
      <w:r w:rsidR="007440C5" w:rsidRPr="007440C5">
        <w:t xml:space="preserve"> or </w:t>
      </w:r>
    </w:p>
    <w:p w:rsidR="007440C5" w:rsidRDefault="007440C5" w:rsidP="002C7FD2">
      <w:pPr>
        <w:numPr>
          <w:ilvl w:val="0"/>
          <w:numId w:val="25"/>
        </w:numPr>
        <w:spacing w:before="120" w:after="0" w:line="288" w:lineRule="auto"/>
        <w:ind w:left="993" w:hanging="284"/>
        <w:contextualSpacing/>
      </w:pPr>
      <w:proofErr w:type="gramStart"/>
      <w:r w:rsidRPr="007440C5">
        <w:t>enter</w:t>
      </w:r>
      <w:proofErr w:type="gramEnd"/>
      <w:r w:rsidRPr="007440C5">
        <w:t xml:space="preserve"> into partnerships with the University to take on surplus stock.</w:t>
      </w:r>
    </w:p>
    <w:p w:rsidR="0059413B" w:rsidRPr="007440C5" w:rsidRDefault="0059413B" w:rsidP="0059413B">
      <w:pPr>
        <w:spacing w:before="120" w:after="0" w:line="288" w:lineRule="auto"/>
        <w:ind w:left="1440"/>
        <w:contextualSpacing/>
      </w:pPr>
    </w:p>
    <w:p w:rsidR="007440C5" w:rsidRPr="007440C5" w:rsidRDefault="007440C5" w:rsidP="007440C5">
      <w:pPr>
        <w:numPr>
          <w:ilvl w:val="1"/>
          <w:numId w:val="23"/>
        </w:numPr>
        <w:spacing w:before="120" w:after="0" w:line="288" w:lineRule="auto"/>
        <w:contextualSpacing/>
        <w:rPr>
          <w:b/>
        </w:rPr>
      </w:pPr>
      <w:r w:rsidRPr="007440C5">
        <w:rPr>
          <w:b/>
        </w:rPr>
        <w:t xml:space="preserve"> </w:t>
      </w:r>
      <w:r w:rsidRPr="007440C5">
        <w:rPr>
          <w:b/>
        </w:rPr>
        <w:tab/>
        <w:t>Implications of current patterns of residence for private landlords</w:t>
      </w:r>
    </w:p>
    <w:p w:rsidR="00230A1C" w:rsidRPr="00230A1C" w:rsidRDefault="007440C5" w:rsidP="007440C5">
      <w:pPr>
        <w:numPr>
          <w:ilvl w:val="2"/>
          <w:numId w:val="23"/>
        </w:numPr>
        <w:spacing w:before="120" w:after="0" w:line="288" w:lineRule="auto"/>
      </w:pPr>
      <w:r w:rsidRPr="007440C5">
        <w:t>The findings presented above show that demand from students for accommodation in off-street private rented shared housing, and therefore the size of the</w:t>
      </w:r>
      <w:r w:rsidR="0059413B">
        <w:t xml:space="preserve"> sector itself</w:t>
      </w:r>
      <w:r w:rsidR="00230A1C">
        <w:t>,</w:t>
      </w:r>
      <w:r w:rsidRPr="007440C5">
        <w:t xml:space="preserve"> is much sm</w:t>
      </w:r>
      <w:r w:rsidR="0059413B">
        <w:t xml:space="preserve">aller than in other </w:t>
      </w:r>
      <w:r w:rsidR="00230A1C">
        <w:t>host</w:t>
      </w:r>
      <w:r w:rsidRPr="007440C5">
        <w:t xml:space="preserve"> cities and towns.  </w:t>
      </w:r>
      <w:r w:rsidR="00230A1C">
        <w:t>Thirteen per cent of all students in Bradford</w:t>
      </w:r>
      <w:r w:rsidR="00230A1C" w:rsidRPr="00802450">
        <w:t xml:space="preserve"> and </w:t>
      </w:r>
      <w:r w:rsidR="00230A1C" w:rsidRPr="00802450">
        <w:rPr>
          <w:rFonts w:cs="Courier New"/>
          <w:color w:val="000000"/>
          <w:shd w:val="clear" w:color="auto" w:fill="FFFFFF"/>
        </w:rPr>
        <w:t>25</w:t>
      </w:r>
      <w:r w:rsidR="00230A1C">
        <w:rPr>
          <w:rFonts w:cs="Courier New"/>
          <w:color w:val="000000"/>
          <w:shd w:val="clear" w:color="auto" w:fill="FFFFFF"/>
        </w:rPr>
        <w:t xml:space="preserve"> per cent</w:t>
      </w:r>
      <w:r w:rsidR="00230A1C" w:rsidRPr="00802450">
        <w:rPr>
          <w:rFonts w:cs="Courier New"/>
          <w:color w:val="000000"/>
          <w:shd w:val="clear" w:color="auto" w:fill="FFFFFF"/>
        </w:rPr>
        <w:t xml:space="preserve"> of students with a residential need in </w:t>
      </w:r>
      <w:r w:rsidR="00230A1C">
        <w:rPr>
          <w:rFonts w:cs="Courier New"/>
          <w:color w:val="000000"/>
          <w:shd w:val="clear" w:color="auto" w:fill="FFFFFF"/>
        </w:rPr>
        <w:t>the city</w:t>
      </w:r>
      <w:r w:rsidR="00230A1C" w:rsidRPr="00802450">
        <w:t xml:space="preserve"> live in off-street shared private rented housing</w:t>
      </w:r>
      <w:r w:rsidR="00230A1C">
        <w:t>, as</w:t>
      </w:r>
      <w:r w:rsidR="00230A1C" w:rsidRPr="00802450">
        <w:t xml:space="preserve"> </w:t>
      </w:r>
      <w:r w:rsidR="00230A1C" w:rsidRPr="00802450">
        <w:rPr>
          <w:rFonts w:cs="Courier New"/>
          <w:color w:val="000000"/>
          <w:shd w:val="clear" w:color="auto" w:fill="FFFFFF"/>
        </w:rPr>
        <w:t xml:space="preserve">compared to </w:t>
      </w:r>
      <w:r w:rsidR="00230A1C">
        <w:rPr>
          <w:rFonts w:cs="Courier New"/>
          <w:color w:val="000000"/>
          <w:shd w:val="clear" w:color="auto" w:fill="FFFFFF"/>
        </w:rPr>
        <w:t xml:space="preserve">a figure of </w:t>
      </w:r>
      <w:r w:rsidR="00230A1C" w:rsidRPr="00802450">
        <w:rPr>
          <w:rFonts w:cs="Courier New"/>
          <w:color w:val="000000"/>
          <w:shd w:val="clear" w:color="auto" w:fill="FFFFFF"/>
        </w:rPr>
        <w:t>around 45</w:t>
      </w:r>
      <w:r w:rsidR="00230A1C">
        <w:rPr>
          <w:rFonts w:cs="Courier New"/>
          <w:color w:val="000000"/>
          <w:shd w:val="clear" w:color="auto" w:fill="FFFFFF"/>
        </w:rPr>
        <w:t xml:space="preserve"> per cent for</w:t>
      </w:r>
      <w:r w:rsidR="00230A1C" w:rsidRPr="00802450">
        <w:rPr>
          <w:rFonts w:cs="Courier New"/>
          <w:color w:val="000000"/>
          <w:shd w:val="clear" w:color="auto" w:fill="FFFFFF"/>
        </w:rPr>
        <w:t xml:space="preserve"> Leeds and Nottingham.</w:t>
      </w:r>
    </w:p>
    <w:p w:rsidR="007440C5" w:rsidRPr="007440C5" w:rsidRDefault="007440C5" w:rsidP="007440C5">
      <w:pPr>
        <w:numPr>
          <w:ilvl w:val="2"/>
          <w:numId w:val="23"/>
        </w:numPr>
        <w:spacing w:before="120" w:after="0" w:line="288" w:lineRule="auto"/>
      </w:pPr>
      <w:r w:rsidRPr="007440C5">
        <w:t>The off-street mar</w:t>
      </w:r>
      <w:r w:rsidR="00230A1C">
        <w:t>ket has been driven in the past</w:t>
      </w:r>
      <w:r w:rsidRPr="007440C5">
        <w:t xml:space="preserve"> mainly by returning students renting in groups, but the data presented above indicates that many students remain in their own or their parent</w:t>
      </w:r>
      <w:r w:rsidR="00823130">
        <w:t>s’</w:t>
      </w:r>
      <w:r w:rsidRPr="007440C5">
        <w:t xml:space="preserve"> ho</w:t>
      </w:r>
      <w:r w:rsidR="00230A1C">
        <w:t>me during their course of study</w:t>
      </w:r>
      <w:r w:rsidRPr="007440C5">
        <w:t xml:space="preserve"> and that a higher proportion of returning students apparently choose to live in University or private PBSA</w:t>
      </w:r>
      <w:r w:rsidR="00230A1C">
        <w:t xml:space="preserve"> in preference to off-</w:t>
      </w:r>
      <w:r w:rsidRPr="007440C5">
        <w:t>street shared housing</w:t>
      </w:r>
      <w:r w:rsidR="00230A1C">
        <w:t xml:space="preserve"> in the private rented sector</w:t>
      </w:r>
      <w:r w:rsidRPr="007440C5">
        <w:t xml:space="preserve">.  </w:t>
      </w:r>
    </w:p>
    <w:p w:rsidR="007440C5" w:rsidRPr="007440C5" w:rsidRDefault="007440C5" w:rsidP="007440C5">
      <w:pPr>
        <w:numPr>
          <w:ilvl w:val="2"/>
          <w:numId w:val="23"/>
        </w:numPr>
        <w:spacing w:before="120" w:after="0" w:line="288" w:lineRule="auto"/>
      </w:pPr>
      <w:r w:rsidRPr="007440C5">
        <w:t>The opening of The Green Student Village and competition from private sector PBSA providers have drawn s</w:t>
      </w:r>
      <w:r w:rsidR="00230A1C">
        <w:t>tudent demand away from the off-</w:t>
      </w:r>
      <w:r w:rsidRPr="007440C5">
        <w:t xml:space="preserve">street sector to the extent that it looks likely that </w:t>
      </w:r>
      <w:r w:rsidRPr="007440C5">
        <w:rPr>
          <w:rFonts w:cs="Courier New"/>
          <w:color w:val="000000"/>
          <w:shd w:val="clear" w:color="auto" w:fill="FFFFFF"/>
        </w:rPr>
        <w:t xml:space="preserve">the level of off-street housing is probably now at its </w:t>
      </w:r>
      <w:r w:rsidR="00230A1C">
        <w:rPr>
          <w:rFonts w:cs="Courier New"/>
          <w:color w:val="000000"/>
          <w:shd w:val="clear" w:color="auto" w:fill="FFFFFF"/>
        </w:rPr>
        <w:t xml:space="preserve">bedrock level </w:t>
      </w:r>
      <w:r w:rsidRPr="007440C5">
        <w:rPr>
          <w:rFonts w:cs="Courier New"/>
          <w:color w:val="000000"/>
          <w:shd w:val="clear" w:color="auto" w:fill="FFFFFF"/>
        </w:rPr>
        <w:t>and</w:t>
      </w:r>
      <w:r w:rsidRPr="007440C5">
        <w:t xml:space="preserve"> is likely to face further competition for </w:t>
      </w:r>
      <w:r w:rsidR="00230A1C">
        <w:t>its</w:t>
      </w:r>
      <w:r w:rsidRPr="007440C5">
        <w:t xml:space="preserve"> core market in the future.</w:t>
      </w:r>
    </w:p>
    <w:p w:rsidR="007440C5" w:rsidRPr="007440C5" w:rsidRDefault="007440C5" w:rsidP="007440C5">
      <w:pPr>
        <w:numPr>
          <w:ilvl w:val="2"/>
          <w:numId w:val="23"/>
        </w:numPr>
        <w:spacing w:before="120" w:after="0" w:line="288" w:lineRule="auto"/>
      </w:pPr>
      <w:r w:rsidRPr="007440C5">
        <w:t xml:space="preserve">Landlords will almost certainly lose competitive edge if the location, quality or management of their homes is seen by students to be poor. </w:t>
      </w:r>
      <w:r w:rsidR="00230A1C">
        <w:t>In these conditions t</w:t>
      </w:r>
      <w:r w:rsidRPr="007440C5">
        <w:rPr>
          <w:rFonts w:cs="Courier New"/>
          <w:color w:val="000000"/>
          <w:shd w:val="clear" w:color="auto" w:fill="FFFFFF"/>
        </w:rPr>
        <w:t xml:space="preserve">he role of accreditation will become vital </w:t>
      </w:r>
      <w:r w:rsidRPr="007440C5">
        <w:rPr>
          <w:rFonts w:cs="Courier New"/>
          <w:color w:val="000000"/>
          <w:shd w:val="clear" w:color="auto" w:fill="FFFFFF"/>
        </w:rPr>
        <w:lastRenderedPageBreak/>
        <w:t>in identifying what ought to be let, and is very important in a big surplus market where de</w:t>
      </w:r>
      <w:r w:rsidR="00D85078">
        <w:rPr>
          <w:rFonts w:cs="Courier New"/>
          <w:color w:val="000000"/>
          <w:shd w:val="clear" w:color="auto" w:fill="FFFFFF"/>
        </w:rPr>
        <w:t>mand may be so low for certain ‘products’</w:t>
      </w:r>
      <w:r w:rsidRPr="007440C5">
        <w:rPr>
          <w:rFonts w:cs="Courier New"/>
          <w:color w:val="000000"/>
          <w:shd w:val="clear" w:color="auto" w:fill="FFFFFF"/>
        </w:rPr>
        <w:t xml:space="preserve"> that viability </w:t>
      </w:r>
      <w:r w:rsidR="00230A1C">
        <w:rPr>
          <w:rFonts w:cs="Courier New"/>
          <w:color w:val="000000"/>
          <w:shd w:val="clear" w:color="auto" w:fill="FFFFFF"/>
        </w:rPr>
        <w:t>is at</w:t>
      </w:r>
      <w:r w:rsidRPr="007440C5">
        <w:rPr>
          <w:rFonts w:cs="Courier New"/>
          <w:color w:val="000000"/>
          <w:shd w:val="clear" w:color="auto" w:fill="FFFFFF"/>
        </w:rPr>
        <w:t xml:space="preserve"> issue.</w:t>
      </w:r>
    </w:p>
    <w:p w:rsidR="007440C5" w:rsidRPr="007440C5" w:rsidRDefault="007440C5" w:rsidP="007440C5">
      <w:pPr>
        <w:numPr>
          <w:ilvl w:val="2"/>
          <w:numId w:val="23"/>
        </w:numPr>
        <w:spacing w:before="120" w:after="0" w:line="288" w:lineRule="auto"/>
      </w:pPr>
      <w:r w:rsidRPr="007440C5">
        <w:rPr>
          <w:rFonts w:cs="Courier New"/>
          <w:color w:val="000000"/>
          <w:shd w:val="clear" w:color="auto" w:fill="FFFFFF"/>
        </w:rPr>
        <w:t xml:space="preserve">The location of off-street shared private rented housing also appears to be </w:t>
      </w:r>
      <w:r w:rsidR="00230A1C">
        <w:rPr>
          <w:rFonts w:cs="Courier New"/>
          <w:color w:val="000000"/>
          <w:shd w:val="clear" w:color="auto" w:fill="FFFFFF"/>
        </w:rPr>
        <w:t xml:space="preserve">an </w:t>
      </w:r>
      <w:r w:rsidRPr="007440C5">
        <w:rPr>
          <w:rFonts w:cs="Courier New"/>
          <w:color w:val="000000"/>
          <w:shd w:val="clear" w:color="auto" w:fill="FFFFFF"/>
        </w:rPr>
        <w:t xml:space="preserve">important determinant of student demand.  Most students in off-street rented housing tend to live within </w:t>
      </w:r>
      <w:r w:rsidR="004D6741">
        <w:rPr>
          <w:rFonts w:cs="Courier New"/>
          <w:color w:val="000000"/>
          <w:shd w:val="clear" w:color="auto" w:fill="FFFFFF"/>
        </w:rPr>
        <w:t>two</w:t>
      </w:r>
      <w:r w:rsidRPr="007440C5">
        <w:rPr>
          <w:rFonts w:cs="Courier New"/>
          <w:color w:val="000000"/>
          <w:shd w:val="clear" w:color="auto" w:fill="FFFFFF"/>
        </w:rPr>
        <w:t xml:space="preserve"> miles of the University/College campus. Landlords trying to let properties located too far from the University</w:t>
      </w:r>
      <w:r w:rsidR="004D6741">
        <w:rPr>
          <w:rFonts w:cs="Courier New"/>
          <w:color w:val="000000"/>
          <w:shd w:val="clear" w:color="auto" w:fill="FFFFFF"/>
        </w:rPr>
        <w:t>/College</w:t>
      </w:r>
      <w:r w:rsidRPr="007440C5">
        <w:rPr>
          <w:rFonts w:cs="Courier New"/>
          <w:color w:val="000000"/>
          <w:shd w:val="clear" w:color="auto" w:fill="FFFFFF"/>
        </w:rPr>
        <w:t xml:space="preserve"> may find them becoming more difficult to let as competition grows from other type</w:t>
      </w:r>
      <w:r w:rsidR="004D6741">
        <w:rPr>
          <w:rFonts w:cs="Courier New"/>
          <w:color w:val="000000"/>
          <w:shd w:val="clear" w:color="auto" w:fill="FFFFFF"/>
        </w:rPr>
        <w:t>s of accommodation and from off-</w:t>
      </w:r>
      <w:r w:rsidRPr="007440C5">
        <w:rPr>
          <w:rFonts w:cs="Courier New"/>
          <w:color w:val="000000"/>
          <w:shd w:val="clear" w:color="auto" w:fill="FFFFFF"/>
        </w:rPr>
        <w:t>street housing situated closer to the University/College.</w:t>
      </w:r>
    </w:p>
    <w:p w:rsidR="000551F8" w:rsidRPr="000551F8" w:rsidRDefault="007440C5" w:rsidP="007440C5">
      <w:pPr>
        <w:numPr>
          <w:ilvl w:val="2"/>
          <w:numId w:val="23"/>
        </w:numPr>
        <w:spacing w:before="120" w:after="0" w:line="288" w:lineRule="auto"/>
        <w:contextualSpacing/>
      </w:pPr>
      <w:r w:rsidRPr="000551F8">
        <w:rPr>
          <w:rFonts w:cs="Courier New"/>
          <w:color w:val="000000"/>
          <w:shd w:val="clear" w:color="auto" w:fill="FFFFFF"/>
        </w:rPr>
        <w:t>New University and private PBSA offers newer accommodation with amenity level</w:t>
      </w:r>
      <w:r w:rsidR="004D6741" w:rsidRPr="000551F8">
        <w:rPr>
          <w:rFonts w:cs="Courier New"/>
          <w:color w:val="000000"/>
          <w:shd w:val="clear" w:color="auto" w:fill="FFFFFF"/>
        </w:rPr>
        <w:t xml:space="preserve">s often of higher quality than </w:t>
      </w:r>
      <w:r w:rsidRPr="000551F8">
        <w:rPr>
          <w:rFonts w:cs="Courier New"/>
          <w:color w:val="000000"/>
          <w:shd w:val="clear" w:color="auto" w:fill="FFFFFF"/>
        </w:rPr>
        <w:t>off-street shared housing. Research by U</w:t>
      </w:r>
      <w:r w:rsidR="004D6741" w:rsidRPr="000551F8">
        <w:rPr>
          <w:rFonts w:cs="Courier New"/>
          <w:color w:val="000000"/>
          <w:shd w:val="clear" w:color="auto" w:fill="FFFFFF"/>
        </w:rPr>
        <w:t>nipol</w:t>
      </w:r>
      <w:r w:rsidRPr="000551F8">
        <w:rPr>
          <w:rFonts w:cs="Courier New"/>
          <w:color w:val="000000"/>
          <w:shd w:val="clear" w:color="auto" w:fill="FFFFFF"/>
        </w:rPr>
        <w:t xml:space="preserve"> show</w:t>
      </w:r>
      <w:r w:rsidR="004D6741" w:rsidRPr="000551F8">
        <w:rPr>
          <w:rFonts w:cs="Courier New"/>
          <w:color w:val="000000"/>
          <w:shd w:val="clear" w:color="auto" w:fill="FFFFFF"/>
        </w:rPr>
        <w:t>s</w:t>
      </w:r>
      <w:r w:rsidRPr="000551F8">
        <w:rPr>
          <w:rFonts w:cs="Courier New"/>
          <w:color w:val="000000"/>
          <w:shd w:val="clear" w:color="auto" w:fill="FFFFFF"/>
        </w:rPr>
        <w:t xml:space="preserve"> that standards of amenity in off-street shared housing in Bradford lag behind the levels of quality in the off-street sector in Leeds, where a larger sector and the presence of larger (and possibly more professional) landlords has resulted in competition to improve standards in order to </w:t>
      </w:r>
      <w:r w:rsidR="004D6741" w:rsidRPr="000551F8">
        <w:rPr>
          <w:rFonts w:cs="Courier New"/>
          <w:color w:val="000000"/>
          <w:shd w:val="clear" w:color="auto" w:fill="FFFFFF"/>
        </w:rPr>
        <w:t>meet</w:t>
      </w:r>
      <w:r w:rsidRPr="000551F8">
        <w:rPr>
          <w:rFonts w:cs="Courier New"/>
          <w:color w:val="000000"/>
          <w:shd w:val="clear" w:color="auto" w:fill="FFFFFF"/>
        </w:rPr>
        <w:t xml:space="preserve"> increasingly demanding student (and student parent) expectations and requirements</w:t>
      </w:r>
      <w:r w:rsidR="004D6741" w:rsidRPr="000551F8">
        <w:rPr>
          <w:rFonts w:cs="Courier New"/>
          <w:color w:val="000000"/>
          <w:shd w:val="clear" w:color="auto" w:fill="FFFFFF"/>
        </w:rPr>
        <w:t>.</w:t>
      </w:r>
      <w:r w:rsidR="004D6741">
        <w:rPr>
          <w:rStyle w:val="FootnoteReference"/>
          <w:rFonts w:cs="Courier New"/>
          <w:color w:val="000000"/>
          <w:shd w:val="clear" w:color="auto" w:fill="FFFFFF"/>
        </w:rPr>
        <w:footnoteReference w:id="28"/>
      </w:r>
    </w:p>
    <w:p w:rsidR="007440C5" w:rsidRPr="007440C5" w:rsidRDefault="004D6741" w:rsidP="007440C5">
      <w:pPr>
        <w:numPr>
          <w:ilvl w:val="2"/>
          <w:numId w:val="23"/>
        </w:numPr>
        <w:spacing w:before="120" w:after="0" w:line="288" w:lineRule="auto"/>
        <w:contextualSpacing/>
      </w:pPr>
      <w:r>
        <w:t>Because of</w:t>
      </w:r>
      <w:r w:rsidRPr="00802450">
        <w:t xml:space="preserve"> the competitive pressures at play in Bradford</w:t>
      </w:r>
      <w:r>
        <w:t>,</w:t>
      </w:r>
      <w:r w:rsidRPr="00802450">
        <w:t xml:space="preserve"> </w:t>
      </w:r>
      <w:r>
        <w:t>p</w:t>
      </w:r>
      <w:r w:rsidR="007440C5" w:rsidRPr="007440C5">
        <w:t>rivate landlords will need to consider what to do with their properties in the context of demand remaining (at best) at current core levels</w:t>
      </w:r>
      <w:r>
        <w:t>:</w:t>
      </w:r>
    </w:p>
    <w:p w:rsidR="007440C5" w:rsidRPr="007440C5" w:rsidRDefault="007440C5" w:rsidP="007440C5">
      <w:pPr>
        <w:numPr>
          <w:ilvl w:val="0"/>
          <w:numId w:val="26"/>
        </w:numPr>
        <w:spacing w:before="120" w:after="0" w:line="288" w:lineRule="auto"/>
        <w:contextualSpacing/>
      </w:pPr>
      <w:r w:rsidRPr="007440C5">
        <w:t>enhancing provision of amenities to improve levels of comparability to similar off-street shared housing in Leeds)</w:t>
      </w:r>
    </w:p>
    <w:p w:rsidR="007440C5" w:rsidRPr="007440C5" w:rsidRDefault="007440C5" w:rsidP="007440C5">
      <w:pPr>
        <w:numPr>
          <w:ilvl w:val="0"/>
          <w:numId w:val="26"/>
        </w:numPr>
        <w:spacing w:before="120" w:after="0" w:line="288" w:lineRule="auto"/>
        <w:contextualSpacing/>
      </w:pPr>
      <w:r w:rsidRPr="007440C5">
        <w:t>embrace accreditat</w:t>
      </w:r>
      <w:r w:rsidR="00D85078">
        <w:t xml:space="preserve">ion and UNIPOL Code membership </w:t>
      </w:r>
      <w:r w:rsidRPr="007440C5">
        <w:t>to give assurance to students of quality of provision and amenity</w:t>
      </w:r>
    </w:p>
    <w:p w:rsidR="007440C5" w:rsidRPr="007440C5" w:rsidRDefault="007440C5" w:rsidP="007440C5">
      <w:pPr>
        <w:numPr>
          <w:ilvl w:val="0"/>
          <w:numId w:val="26"/>
        </w:numPr>
        <w:spacing w:before="120" w:after="0" w:line="288" w:lineRule="auto"/>
        <w:contextualSpacing/>
        <w:rPr>
          <w:i/>
        </w:rPr>
      </w:pPr>
      <w:proofErr w:type="gramStart"/>
      <w:r w:rsidRPr="007440C5">
        <w:t>implement</w:t>
      </w:r>
      <w:proofErr w:type="gramEnd"/>
      <w:r w:rsidRPr="007440C5">
        <w:t xml:space="preserve"> improved management regimes in line with those</w:t>
      </w:r>
      <w:r w:rsidR="000551F8">
        <w:t xml:space="preserve"> encouraged through the Unipol C</w:t>
      </w:r>
      <w:r w:rsidRPr="007440C5">
        <w:t>ode</w:t>
      </w:r>
      <w:r w:rsidR="000551F8">
        <w:t xml:space="preserve"> (accreditation scheme)</w:t>
      </w:r>
      <w:r w:rsidR="00D85078">
        <w:t>.</w:t>
      </w:r>
      <w:r w:rsidRPr="007440C5">
        <w:rPr>
          <w:color w:val="FF0000"/>
        </w:rPr>
        <w:t xml:space="preserve"> </w:t>
      </w:r>
    </w:p>
    <w:p w:rsidR="007440C5" w:rsidRPr="007440C5" w:rsidRDefault="007440C5" w:rsidP="007440C5">
      <w:pPr>
        <w:spacing w:before="120" w:after="0" w:line="288" w:lineRule="auto"/>
        <w:rPr>
          <w:b/>
        </w:rPr>
      </w:pPr>
      <w:r w:rsidRPr="007440C5">
        <w:rPr>
          <w:b/>
        </w:rPr>
        <w:t>5.5</w:t>
      </w:r>
      <w:r w:rsidRPr="007440C5">
        <w:rPr>
          <w:b/>
        </w:rPr>
        <w:tab/>
        <w:t>Implications for local housing markets of likely trends in student accommodation provision</w:t>
      </w:r>
    </w:p>
    <w:p w:rsidR="007440C5" w:rsidRPr="007440C5" w:rsidRDefault="007440C5" w:rsidP="007440C5">
      <w:pPr>
        <w:spacing w:before="120" w:after="0" w:line="288" w:lineRule="auto"/>
        <w:ind w:left="720" w:hanging="720"/>
      </w:pPr>
      <w:r w:rsidRPr="007440C5">
        <w:t>5.5.1</w:t>
      </w:r>
      <w:r w:rsidRPr="007440C5">
        <w:tab/>
        <w:t xml:space="preserve">With </w:t>
      </w:r>
      <w:r w:rsidR="00295573">
        <w:t xml:space="preserve">student </w:t>
      </w:r>
      <w:r w:rsidRPr="007440C5">
        <w:t xml:space="preserve">demand for accommodation </w:t>
      </w:r>
      <w:r w:rsidR="000B75A0">
        <w:t>largely</w:t>
      </w:r>
      <w:r w:rsidRPr="007440C5">
        <w:t xml:space="preserve"> focused</w:t>
      </w:r>
      <w:r w:rsidR="000B75A0">
        <w:t xml:space="preserve"> on living at home</w:t>
      </w:r>
      <w:r w:rsidRPr="007440C5">
        <w:t xml:space="preserve"> or in PBSA provisions, </w:t>
      </w:r>
      <w:r w:rsidR="00295573">
        <w:t xml:space="preserve">it is possible that the core </w:t>
      </w:r>
      <w:r w:rsidR="00D85078">
        <w:t xml:space="preserve">of students </w:t>
      </w:r>
      <w:r w:rsidR="00295573">
        <w:t>living</w:t>
      </w:r>
      <w:r w:rsidRPr="007440C5">
        <w:t xml:space="preserve"> in shared off-street housing </w:t>
      </w:r>
      <w:r w:rsidR="00295573">
        <w:t>is further eroded, potentially affecting</w:t>
      </w:r>
      <w:r w:rsidRPr="007440C5">
        <w:t xml:space="preserve"> </w:t>
      </w:r>
      <w:r w:rsidR="00295573">
        <w:t xml:space="preserve">housing </w:t>
      </w:r>
      <w:r w:rsidRPr="007440C5">
        <w:t>demand in areas surrounding the University where students tend to live.  At the moment there are about 354 unlet bed</w:t>
      </w:r>
      <w:r w:rsidR="00295573">
        <w:t xml:space="preserve"> </w:t>
      </w:r>
      <w:r w:rsidRPr="007440C5">
        <w:t>spaces on the Unipol database, and there may be other properties not let through Unipol, where demand is insufficient. However, given the relatively small size of the off-street sector in Bradford, it is unlikely that changing demand will result in the prospect of significant numbers of empty or underlet homes becoming an issue as is the case in Leeds and Nottingham</w:t>
      </w:r>
      <w:r w:rsidR="00295573">
        <w:t>. B</w:t>
      </w:r>
      <w:r w:rsidRPr="007440C5">
        <w:t xml:space="preserve">ut it is important to consider </w:t>
      </w:r>
      <w:r w:rsidR="00295573">
        <w:t>potential sources of</w:t>
      </w:r>
      <w:r w:rsidRPr="007440C5">
        <w:t xml:space="preserve"> alternative demand for properties no longer wanted by students.</w:t>
      </w:r>
    </w:p>
    <w:p w:rsidR="007440C5" w:rsidRPr="007440C5" w:rsidRDefault="007440C5" w:rsidP="007440C5">
      <w:pPr>
        <w:spacing w:before="120" w:after="0" w:line="288" w:lineRule="auto"/>
        <w:ind w:left="720" w:hanging="675"/>
        <w:rPr>
          <w:i/>
        </w:rPr>
      </w:pPr>
      <w:r w:rsidRPr="007440C5">
        <w:t>5.5.2</w:t>
      </w:r>
      <w:r w:rsidRPr="007440C5">
        <w:tab/>
      </w:r>
      <w:r w:rsidRPr="007440C5">
        <w:rPr>
          <w:u w:val="single"/>
        </w:rPr>
        <w:t>Home purchase</w:t>
      </w:r>
      <w:r w:rsidRPr="007440C5">
        <w:t xml:space="preserve">, especially by first-time buyers, would be one option.  Average house prices in the areas surrounding the University are substantially lower than the average for Bradford as a whole. </w:t>
      </w:r>
      <w:r w:rsidR="00295573">
        <w:t>Since 2009 there has been an overall drop in h</w:t>
      </w:r>
      <w:r w:rsidR="00295573" w:rsidRPr="00802450">
        <w:t xml:space="preserve">ouse </w:t>
      </w:r>
      <w:proofErr w:type="gramStart"/>
      <w:r w:rsidR="00295573" w:rsidRPr="00802450">
        <w:t>prices</w:t>
      </w:r>
      <w:proofErr w:type="gramEnd"/>
      <w:r w:rsidR="00295573" w:rsidRPr="00802450">
        <w:t xml:space="preserve"> </w:t>
      </w:r>
      <w:r w:rsidR="00295573">
        <w:t xml:space="preserve">for </w:t>
      </w:r>
      <w:r w:rsidR="00295573" w:rsidRPr="00802450">
        <w:t>Bradford</w:t>
      </w:r>
      <w:r w:rsidR="00295573">
        <w:t xml:space="preserve"> and w</w:t>
      </w:r>
      <w:r w:rsidR="00295573" w:rsidRPr="00802450">
        <w:t xml:space="preserve">ithin the areas surrounding the University </w:t>
      </w:r>
      <w:r w:rsidR="00295573">
        <w:t>they have fallen by around six</w:t>
      </w:r>
      <w:r w:rsidR="00295573" w:rsidRPr="00802450">
        <w:t xml:space="preserve"> per cent.</w:t>
      </w:r>
      <w:r w:rsidRPr="007440C5">
        <w:t xml:space="preserve"> </w:t>
      </w:r>
      <w:r w:rsidR="00295573">
        <w:t>However, t</w:t>
      </w:r>
      <w:r w:rsidRPr="007440C5">
        <w:t xml:space="preserve">here is evidence of stabilisation and even a slight increase in prices over the last year. While housing in the area surrounding the University is relatively affordable to buy </w:t>
      </w:r>
      <w:r w:rsidR="00295573">
        <w:t>(</w:t>
      </w:r>
      <w:r w:rsidRPr="007440C5">
        <w:t xml:space="preserve">especially </w:t>
      </w:r>
      <w:r w:rsidR="00295573">
        <w:t>for</w:t>
      </w:r>
      <w:r w:rsidRPr="007440C5">
        <w:t xml:space="preserve"> average earners</w:t>
      </w:r>
      <w:r w:rsidR="00295573">
        <w:t>)</w:t>
      </w:r>
      <w:r w:rsidRPr="007440C5">
        <w:t>, properties may still be out of the reach of low earners</w:t>
      </w:r>
      <w:r w:rsidR="00295573">
        <w:t>.</w:t>
      </w:r>
      <w:r w:rsidRPr="007440C5">
        <w:t xml:space="preserve"> </w:t>
      </w:r>
      <w:r w:rsidR="00295573">
        <w:t>F</w:t>
      </w:r>
      <w:r w:rsidRPr="007440C5">
        <w:t>irst-time buyers may be hindered by the scale of deposits required and more rigorous and cautious lending policies adopted since April of this year.  Deposits required to secure a mortgage are around £15,000 for an entry level one- or two-bed property and between £26,000 and £40000 for a three- or four-bed property.</w:t>
      </w:r>
    </w:p>
    <w:p w:rsidR="007440C5" w:rsidRPr="007440C5" w:rsidRDefault="007440C5" w:rsidP="007440C5">
      <w:pPr>
        <w:spacing w:before="120" w:after="0" w:line="288" w:lineRule="auto"/>
        <w:ind w:left="720"/>
      </w:pPr>
      <w:r w:rsidRPr="007440C5">
        <w:lastRenderedPageBreak/>
        <w:t>Average earners may be able to afford mortgage payments at these price levels, but it may still take them almost four years to accumulate the deposit. For those on low incomes it could take between eight and 17 years to accumulate the deposit required.</w:t>
      </w:r>
    </w:p>
    <w:p w:rsidR="007440C5" w:rsidRPr="007440C5" w:rsidRDefault="007440C5" w:rsidP="007440C5">
      <w:pPr>
        <w:spacing w:before="120" w:after="0" w:line="288" w:lineRule="auto"/>
        <w:ind w:left="720" w:hanging="720"/>
      </w:pPr>
      <w:r w:rsidRPr="007440C5">
        <w:t>5.5.3</w:t>
      </w:r>
      <w:r w:rsidRPr="007440C5">
        <w:tab/>
        <w:t xml:space="preserve">There is some anecdotal evidence that a number of landlords in the areas where students live are letting as a temporary measure, pending properties being gifted to sons or daughters upon marriage. It may be, therefore, that unwanted properties may revert to </w:t>
      </w:r>
      <w:r w:rsidRPr="007440C5">
        <w:rPr>
          <w:u w:val="single"/>
        </w:rPr>
        <w:t>use within the local Asian community</w:t>
      </w:r>
      <w:r w:rsidRPr="007440C5">
        <w:t xml:space="preserve"> or may be purchased by others within the Asian community.</w:t>
      </w:r>
    </w:p>
    <w:p w:rsidR="007440C5" w:rsidRPr="007440C5" w:rsidRDefault="007440C5" w:rsidP="007440C5">
      <w:pPr>
        <w:spacing w:before="120" w:after="0" w:line="288" w:lineRule="auto"/>
        <w:ind w:left="720" w:hanging="720"/>
        <w:rPr>
          <w:color w:val="FF0000"/>
        </w:rPr>
      </w:pPr>
      <w:r w:rsidRPr="007440C5">
        <w:t>5.5.4</w:t>
      </w:r>
      <w:r w:rsidRPr="007440C5">
        <w:tab/>
        <w:t xml:space="preserve">It may be that there are </w:t>
      </w:r>
      <w:r w:rsidRPr="007440C5">
        <w:rPr>
          <w:u w:val="single"/>
        </w:rPr>
        <w:t>alternative rental markets</w:t>
      </w:r>
      <w:r w:rsidRPr="007440C5">
        <w:t xml:space="preserve"> for unwanted student properties. The difficulties faced by younger households in securing mortgages and accumulating deposits have led to a boom in rental demand, and there could be demand for rented properties unwanted by students among young couples and starter households seeking their first home.  This may be especially true for young couples from the BME communities who live in many of the areas where students live. However, again this may be of benefit only to average earners. Analysis of market rental costs contained in Section 1 show</w:t>
      </w:r>
      <w:r w:rsidR="006370B2">
        <w:t>s</w:t>
      </w:r>
      <w:r w:rsidRPr="007440C5">
        <w:t xml:space="preserve"> that an income of around £17,000 to £20,000 is needed to afford market rents.</w:t>
      </w:r>
    </w:p>
    <w:p w:rsidR="007440C5" w:rsidRPr="007440C5" w:rsidRDefault="007440C5" w:rsidP="007440C5">
      <w:pPr>
        <w:spacing w:before="120" w:after="0" w:line="288" w:lineRule="auto"/>
        <w:ind w:left="720" w:hanging="720"/>
      </w:pPr>
      <w:r w:rsidRPr="007440C5">
        <w:t>5.5.5</w:t>
      </w:r>
      <w:r w:rsidRPr="007440C5">
        <w:tab/>
        <w:t>Some property owners may consider disposal of unwanted properties to housing associations with a stock base in the areas where students currently live in shared rented housing.</w:t>
      </w:r>
    </w:p>
    <w:p w:rsidR="007440C5" w:rsidRPr="007440C5" w:rsidRDefault="007440C5" w:rsidP="007440C5">
      <w:pPr>
        <w:spacing w:before="120" w:after="0" w:line="288" w:lineRule="auto"/>
        <w:rPr>
          <w:b/>
        </w:rPr>
      </w:pPr>
      <w:r w:rsidRPr="007440C5">
        <w:rPr>
          <w:b/>
        </w:rPr>
        <w:t>5.6</w:t>
      </w:r>
      <w:r w:rsidRPr="007440C5">
        <w:rPr>
          <w:b/>
        </w:rPr>
        <w:tab/>
        <w:t xml:space="preserve">Implications of current patterns of residence for </w:t>
      </w:r>
      <w:r w:rsidR="00D85078">
        <w:rPr>
          <w:b/>
        </w:rPr>
        <w:t xml:space="preserve">the </w:t>
      </w:r>
      <w:r w:rsidRPr="007440C5">
        <w:rPr>
          <w:b/>
        </w:rPr>
        <w:t xml:space="preserve">University of Bradford and Bradford College </w:t>
      </w:r>
    </w:p>
    <w:p w:rsidR="006370B2" w:rsidRDefault="007440C5" w:rsidP="007440C5">
      <w:pPr>
        <w:spacing w:before="120" w:after="0" w:line="288" w:lineRule="auto"/>
        <w:ind w:left="720" w:hanging="720"/>
      </w:pPr>
      <w:r w:rsidRPr="007440C5">
        <w:t>5.6.1</w:t>
      </w:r>
      <w:r w:rsidRPr="007440C5">
        <w:tab/>
        <w:t>The findings above show that residence patterns in Brad</w:t>
      </w:r>
      <w:r w:rsidR="00D85078">
        <w:t>ford differ greatly from other u</w:t>
      </w:r>
      <w:r w:rsidRPr="007440C5">
        <w:t>niversity cities and towns</w:t>
      </w:r>
      <w:r w:rsidR="006370B2">
        <w:t>:</w:t>
      </w:r>
    </w:p>
    <w:p w:rsidR="006370B2" w:rsidRDefault="006370B2" w:rsidP="006370B2">
      <w:pPr>
        <w:pStyle w:val="ListParagraph"/>
        <w:numPr>
          <w:ilvl w:val="1"/>
          <w:numId w:val="34"/>
        </w:numPr>
        <w:spacing w:before="120" w:after="0" w:line="288" w:lineRule="auto"/>
        <w:ind w:left="993" w:hanging="284"/>
      </w:pPr>
      <w:r w:rsidRPr="00802450">
        <w:t>a significantly higher number of students liv</w:t>
      </w:r>
      <w:r>
        <w:t>e</w:t>
      </w:r>
      <w:r w:rsidRPr="00802450">
        <w:t xml:space="preserve"> in their own or </w:t>
      </w:r>
      <w:r>
        <w:t xml:space="preserve">their </w:t>
      </w:r>
      <w:r w:rsidRPr="00802450">
        <w:t>parent</w:t>
      </w:r>
      <w:r>
        <w:t>s’</w:t>
      </w:r>
      <w:r w:rsidRPr="00802450">
        <w:t xml:space="preserve"> home while they study</w:t>
      </w:r>
    </w:p>
    <w:p w:rsidR="006370B2" w:rsidRDefault="006370B2" w:rsidP="006370B2">
      <w:pPr>
        <w:pStyle w:val="ListParagraph"/>
        <w:numPr>
          <w:ilvl w:val="1"/>
          <w:numId w:val="34"/>
        </w:numPr>
        <w:spacing w:before="120" w:after="0" w:line="288" w:lineRule="auto"/>
        <w:ind w:left="993" w:hanging="284"/>
      </w:pPr>
      <w:r>
        <w:t>f</w:t>
      </w:r>
      <w:r w:rsidRPr="00802450">
        <w:t>ewer students choos</w:t>
      </w:r>
      <w:r>
        <w:t>e</w:t>
      </w:r>
      <w:r w:rsidRPr="00802450">
        <w:t xml:space="preserve"> to live in purpose</w:t>
      </w:r>
      <w:r>
        <w:t>-</w:t>
      </w:r>
      <w:r w:rsidRPr="00802450">
        <w:t>built accommodation</w:t>
      </w:r>
    </w:p>
    <w:p w:rsidR="006370B2" w:rsidRDefault="006370B2" w:rsidP="006370B2">
      <w:pPr>
        <w:pStyle w:val="ListParagraph"/>
        <w:numPr>
          <w:ilvl w:val="1"/>
          <w:numId w:val="34"/>
        </w:numPr>
        <w:spacing w:before="120" w:after="0" w:line="288" w:lineRule="auto"/>
        <w:ind w:left="993" w:hanging="284"/>
      </w:pPr>
      <w:proofErr w:type="gramStart"/>
      <w:r w:rsidRPr="00802450">
        <w:t>a</w:t>
      </w:r>
      <w:proofErr w:type="gramEnd"/>
      <w:r w:rsidRPr="00802450">
        <w:t xml:space="preserve"> significant</w:t>
      </w:r>
      <w:r>
        <w:t xml:space="preserve">ly higher number of students live </w:t>
      </w:r>
      <w:r w:rsidRPr="00802450">
        <w:t>in neighbouring cities and towns and commut</w:t>
      </w:r>
      <w:r>
        <w:t>e</w:t>
      </w:r>
      <w:r w:rsidRPr="00802450">
        <w:t xml:space="preserve"> to Bradford to study.  </w:t>
      </w:r>
    </w:p>
    <w:p w:rsidR="007440C5" w:rsidRPr="007440C5" w:rsidRDefault="006370B2" w:rsidP="007440C5">
      <w:pPr>
        <w:spacing w:before="120" w:after="0" w:line="288" w:lineRule="auto"/>
        <w:ind w:left="720" w:hanging="720"/>
      </w:pPr>
      <w:r>
        <w:tab/>
      </w:r>
      <w:r w:rsidR="007440C5" w:rsidRPr="007440C5">
        <w:t xml:space="preserve">Given current and likely future economic constraints, </w:t>
      </w:r>
      <w:r w:rsidR="00D85078">
        <w:t xml:space="preserve">it is possible that </w:t>
      </w:r>
      <w:r w:rsidR="007440C5" w:rsidRPr="007440C5">
        <w:t xml:space="preserve">the proportion of students </w:t>
      </w:r>
      <w:r>
        <w:t>attending from</w:t>
      </w:r>
      <w:r w:rsidR="007440C5" w:rsidRPr="007440C5">
        <w:t xml:space="preserve"> home </w:t>
      </w:r>
      <w:r w:rsidR="00D85078">
        <w:t>will</w:t>
      </w:r>
      <w:r w:rsidR="007440C5" w:rsidRPr="007440C5">
        <w:t xml:space="preserve"> increase further.</w:t>
      </w:r>
    </w:p>
    <w:p w:rsidR="006370B2" w:rsidRPr="00802450" w:rsidRDefault="007440C5" w:rsidP="006370B2">
      <w:pPr>
        <w:spacing w:before="120" w:after="0" w:line="288" w:lineRule="auto"/>
        <w:ind w:left="720" w:hanging="720"/>
      </w:pPr>
      <w:r w:rsidRPr="007440C5">
        <w:t>5.6.2</w:t>
      </w:r>
      <w:r w:rsidRPr="007440C5">
        <w:tab/>
        <w:t xml:space="preserve">However, </w:t>
      </w:r>
      <w:r w:rsidR="006370B2">
        <w:t>in the context of this large constituency</w:t>
      </w:r>
      <w:r w:rsidR="006370B2" w:rsidRPr="006370B2">
        <w:t xml:space="preserve"> </w:t>
      </w:r>
      <w:r w:rsidR="006370B2">
        <w:t xml:space="preserve">of locally/regionally-based students, </w:t>
      </w:r>
      <w:r w:rsidR="006370B2" w:rsidRPr="00802450">
        <w:t>the residential need that has to be met in Bradford will be signi</w:t>
      </w:r>
      <w:r w:rsidR="006370B2">
        <w:t>ficantly smaller than in other u</w:t>
      </w:r>
      <w:r w:rsidR="006370B2" w:rsidRPr="00802450">
        <w:t>niversity cities and towns.</w:t>
      </w:r>
      <w:r w:rsidR="006370B2">
        <w:t xml:space="preserve"> The number of students recruited locally and regionally is set to grow further</w:t>
      </w:r>
      <w:r w:rsidR="006370B2" w:rsidRPr="00802450">
        <w:t xml:space="preserve"> </w:t>
      </w:r>
      <w:r w:rsidR="006370B2">
        <w:t>as the young populations in Bradford and the wider Leeds City Region feed through as young adults. Even if the HEIs in Bradford manage to diversify their geographical profile more towards students from further afield, this is not likely to boost student residential need other than on a marginal scale.</w:t>
      </w:r>
    </w:p>
    <w:p w:rsidR="007440C5" w:rsidRPr="007440C5" w:rsidRDefault="007440C5" w:rsidP="007440C5">
      <w:pPr>
        <w:spacing w:before="120" w:after="0" w:line="288" w:lineRule="auto"/>
        <w:ind w:left="720" w:hanging="720"/>
      </w:pPr>
      <w:r w:rsidRPr="007440C5">
        <w:t>5.6.3</w:t>
      </w:r>
      <w:r w:rsidRPr="007440C5">
        <w:tab/>
        <w:t xml:space="preserve">The opening of The Green Student Village </w:t>
      </w:r>
      <w:r w:rsidR="006370B2">
        <w:t>has</w:t>
      </w:r>
      <w:r w:rsidRPr="007440C5">
        <w:t xml:space="preserve"> quite clearly </w:t>
      </w:r>
      <w:r w:rsidR="006370B2">
        <w:t xml:space="preserve">been </w:t>
      </w:r>
      <w:r w:rsidRPr="007440C5">
        <w:t xml:space="preserve">a ‘game changer’ and </w:t>
      </w:r>
      <w:r w:rsidR="006370B2">
        <w:t xml:space="preserve">has </w:t>
      </w:r>
      <w:r w:rsidRPr="007440C5">
        <w:t xml:space="preserve">had a considerable </w:t>
      </w:r>
      <w:r w:rsidR="006370B2">
        <w:t xml:space="preserve">adverse </w:t>
      </w:r>
      <w:r w:rsidRPr="007440C5">
        <w:t xml:space="preserve">impact on demand both for private sector PBSA and </w:t>
      </w:r>
      <w:r w:rsidR="006370B2">
        <w:t xml:space="preserve">for </w:t>
      </w:r>
      <w:r w:rsidRPr="007440C5">
        <w:t>off-street shared housing.  The University could seek to develop further PBSA (possibly through partnerships with existing providers to re-provide</w:t>
      </w:r>
      <w:r w:rsidR="006370B2">
        <w:t xml:space="preserve"> – </w:t>
      </w:r>
      <w:r w:rsidRPr="007440C5">
        <w:t>or redevelop</w:t>
      </w:r>
      <w:r w:rsidR="006370B2">
        <w:t xml:space="preserve"> – </w:t>
      </w:r>
      <w:r w:rsidRPr="007440C5">
        <w:t>provisions that are in low demand)</w:t>
      </w:r>
      <w:r w:rsidR="006370B2">
        <w:t>.</w:t>
      </w:r>
    </w:p>
    <w:p w:rsidR="00C90ADF" w:rsidRPr="00802450" w:rsidRDefault="007440C5" w:rsidP="00C90ADF">
      <w:pPr>
        <w:spacing w:before="120" w:after="0" w:line="288" w:lineRule="auto"/>
        <w:ind w:left="720" w:hanging="720"/>
      </w:pPr>
      <w:r w:rsidRPr="007440C5">
        <w:t>5.6.4</w:t>
      </w:r>
      <w:r w:rsidRPr="007440C5">
        <w:tab/>
      </w:r>
      <w:r w:rsidR="00C90ADF">
        <w:t>In keeping with its origins, t</w:t>
      </w:r>
      <w:r w:rsidR="00C90ADF" w:rsidRPr="00802450">
        <w:t>he University</w:t>
      </w:r>
      <w:r w:rsidR="00C90ADF">
        <w:t xml:space="preserve"> is now seeking to realise its</w:t>
      </w:r>
      <w:r w:rsidR="00C90ADF" w:rsidRPr="00802450">
        <w:t xml:space="preserve"> vision</w:t>
      </w:r>
      <w:r w:rsidR="00C90ADF">
        <w:t xml:space="preserve"> of</w:t>
      </w:r>
      <w:r w:rsidR="00C90ADF" w:rsidRPr="00802450">
        <w:t xml:space="preserve"> establish</w:t>
      </w:r>
      <w:r w:rsidR="00C90ADF">
        <w:t>ing and branding</w:t>
      </w:r>
      <w:r w:rsidR="00C90ADF" w:rsidRPr="00802450">
        <w:t xml:space="preserve"> it</w:t>
      </w:r>
      <w:r w:rsidR="00C90ADF">
        <w:t>self</w:t>
      </w:r>
      <w:r w:rsidR="00C90ADF" w:rsidRPr="00802450">
        <w:t xml:space="preserve"> as a </w:t>
      </w:r>
      <w:r w:rsidR="00C90ADF">
        <w:t>specialist centre for the provision of technology-based courses and research. As such, it would be operating in a competitive national sub-sector for technology provision and would be in the marketplace to recruit</w:t>
      </w:r>
      <w:r w:rsidR="00C90ADF" w:rsidRPr="00802450">
        <w:t xml:space="preserve"> more students from other parts of the UK.  </w:t>
      </w:r>
      <w:r w:rsidR="00C90ADF">
        <w:t xml:space="preserve">In this niche but national market, it is an integral part of making the University attractive to prospective applicants that the </w:t>
      </w:r>
      <w:r w:rsidR="00C90ADF">
        <w:lastRenderedPageBreak/>
        <w:t>University is able to offer accommodation which</w:t>
      </w:r>
      <w:r w:rsidR="00C90ADF" w:rsidRPr="00802450">
        <w:t xml:space="preserve"> provides quality and amenity at an affordable cost</w:t>
      </w:r>
      <w:r w:rsidR="00C90ADF">
        <w:t>, which</w:t>
      </w:r>
      <w:r w:rsidR="00C90ADF" w:rsidRPr="00802450">
        <w:t xml:space="preserve"> </w:t>
      </w:r>
      <w:r w:rsidR="00C90ADF">
        <w:t>consumers</w:t>
      </w:r>
      <w:r w:rsidR="00C90ADF" w:rsidRPr="00802450">
        <w:t xml:space="preserve"> can have confidence in</w:t>
      </w:r>
      <w:r w:rsidR="00C90ADF">
        <w:t xml:space="preserve">, and which is at least as good as what is available in benchmark institutions and their host towns and cities. </w:t>
      </w:r>
    </w:p>
    <w:p w:rsidR="007440C5" w:rsidRPr="007440C5" w:rsidRDefault="007440C5" w:rsidP="007440C5">
      <w:pPr>
        <w:spacing w:before="120" w:after="0" w:line="288" w:lineRule="auto"/>
        <w:ind w:left="720" w:hanging="720"/>
      </w:pPr>
      <w:r w:rsidRPr="007440C5">
        <w:t>5.6.5</w:t>
      </w:r>
      <w:r w:rsidRPr="007440C5">
        <w:tab/>
        <w:t>In order to assure the quality of accommodation for students w</w:t>
      </w:r>
      <w:r w:rsidR="0052430D">
        <w:t>ith</w:t>
      </w:r>
      <w:r w:rsidRPr="007440C5">
        <w:t xml:space="preserve"> a residential need, the</w:t>
      </w:r>
      <w:r w:rsidR="0052430D">
        <w:t xml:space="preserve"> University</w:t>
      </w:r>
      <w:r w:rsidRPr="007440C5">
        <w:t xml:space="preserve"> may need </w:t>
      </w:r>
      <w:r w:rsidR="0052430D">
        <w:t xml:space="preserve">to </w:t>
      </w:r>
      <w:r w:rsidRPr="007440C5">
        <w:t xml:space="preserve">take a more proactive approach </w:t>
      </w:r>
      <w:r w:rsidR="0052430D">
        <w:t>via a mix of:</w:t>
      </w:r>
    </w:p>
    <w:p w:rsidR="007440C5" w:rsidRPr="007440C5" w:rsidRDefault="0052430D" w:rsidP="00D85078">
      <w:pPr>
        <w:numPr>
          <w:ilvl w:val="0"/>
          <w:numId w:val="24"/>
        </w:numPr>
        <w:spacing w:before="120" w:after="0" w:line="288" w:lineRule="auto"/>
        <w:ind w:left="993" w:hanging="284"/>
        <w:contextualSpacing/>
      </w:pPr>
      <w:r>
        <w:t>c</w:t>
      </w:r>
      <w:r w:rsidR="007440C5" w:rsidRPr="007440C5">
        <w:t>ontinuing direct provision th</w:t>
      </w:r>
      <w:r>
        <w:t>rough The Green Student Village</w:t>
      </w:r>
      <w:r w:rsidR="007440C5" w:rsidRPr="007440C5">
        <w:t xml:space="preserve"> and Vernon </w:t>
      </w:r>
      <w:proofErr w:type="spellStart"/>
      <w:r w:rsidR="007440C5" w:rsidRPr="007440C5">
        <w:t>Barnby</w:t>
      </w:r>
      <w:proofErr w:type="spellEnd"/>
    </w:p>
    <w:p w:rsidR="007440C5" w:rsidRPr="007440C5" w:rsidRDefault="0052430D" w:rsidP="00D85078">
      <w:pPr>
        <w:numPr>
          <w:ilvl w:val="0"/>
          <w:numId w:val="24"/>
        </w:numPr>
        <w:spacing w:before="120" w:after="0" w:line="288" w:lineRule="auto"/>
        <w:ind w:left="993" w:hanging="284"/>
        <w:contextualSpacing/>
      </w:pPr>
      <w:r>
        <w:t>d</w:t>
      </w:r>
      <w:r w:rsidR="007440C5" w:rsidRPr="007440C5">
        <w:t>eveloping arrangements with private providers with low occupancy levels to manage or re</w:t>
      </w:r>
      <w:r>
        <w:t>-</w:t>
      </w:r>
      <w:r w:rsidR="007440C5" w:rsidRPr="007440C5">
        <w:t>provide some facilities</w:t>
      </w:r>
    </w:p>
    <w:p w:rsidR="007440C5" w:rsidRPr="007440C5" w:rsidRDefault="0052430D" w:rsidP="00D85078">
      <w:pPr>
        <w:numPr>
          <w:ilvl w:val="0"/>
          <w:numId w:val="24"/>
        </w:numPr>
        <w:spacing w:before="120" w:after="0" w:line="288" w:lineRule="auto"/>
        <w:ind w:left="993" w:hanging="284"/>
        <w:contextualSpacing/>
      </w:pPr>
      <w:proofErr w:type="gramStart"/>
      <w:r>
        <w:t>d</w:t>
      </w:r>
      <w:r w:rsidR="007440C5" w:rsidRPr="007440C5">
        <w:t>eveloping</w:t>
      </w:r>
      <w:proofErr w:type="gramEnd"/>
      <w:r>
        <w:t>,</w:t>
      </w:r>
      <w:r w:rsidRPr="0052430D">
        <w:t xml:space="preserve"> </w:t>
      </w:r>
      <w:r w:rsidRPr="007440C5">
        <w:t>in partnership with Unipol</w:t>
      </w:r>
      <w:r>
        <w:t>,</w:t>
      </w:r>
      <w:r w:rsidR="007440C5" w:rsidRPr="007440C5">
        <w:t xml:space="preserve"> an Accreditation Plus approach to establish a guaranteed quality of amenity and management in PBSA  and off-street shared private rented housing for students</w:t>
      </w:r>
      <w:r>
        <w:t>.</w:t>
      </w:r>
    </w:p>
    <w:p w:rsidR="007440C5" w:rsidRPr="007440C5" w:rsidRDefault="007440C5" w:rsidP="007440C5">
      <w:pPr>
        <w:spacing w:before="120" w:after="0" w:line="288" w:lineRule="auto"/>
        <w:ind w:left="720" w:hanging="720"/>
      </w:pPr>
      <w:r w:rsidRPr="007440C5">
        <w:t>5.6.5</w:t>
      </w:r>
      <w:r w:rsidRPr="007440C5">
        <w:tab/>
        <w:t xml:space="preserve">This could serve to drive poor quality landlords and PBSA providers from the market and give existing and prospective students </w:t>
      </w:r>
      <w:r w:rsidR="0052430D">
        <w:t xml:space="preserve">a high level of </w:t>
      </w:r>
      <w:r w:rsidRPr="007440C5">
        <w:t>assurance.</w:t>
      </w:r>
    </w:p>
    <w:p w:rsidR="007440C5" w:rsidRPr="007440C5" w:rsidRDefault="007440C5" w:rsidP="007440C5">
      <w:pPr>
        <w:spacing w:before="120" w:after="0" w:line="288" w:lineRule="auto"/>
        <w:ind w:left="720" w:hanging="720"/>
        <w:rPr>
          <w:b/>
        </w:rPr>
      </w:pPr>
      <w:r w:rsidRPr="007440C5">
        <w:rPr>
          <w:b/>
        </w:rPr>
        <w:t>5.7</w:t>
      </w:r>
      <w:r w:rsidRPr="007440C5">
        <w:rPr>
          <w:b/>
        </w:rPr>
        <w:tab/>
        <w:t xml:space="preserve">Implications for </w:t>
      </w:r>
      <w:r w:rsidR="00FF68C8" w:rsidRPr="00802450">
        <w:rPr>
          <w:b/>
        </w:rPr>
        <w:t xml:space="preserve">Bradford </w:t>
      </w:r>
      <w:r w:rsidR="00FF68C8">
        <w:rPr>
          <w:b/>
        </w:rPr>
        <w:t xml:space="preserve">Metropolitan District </w:t>
      </w:r>
      <w:r w:rsidR="00FF68C8" w:rsidRPr="00802450">
        <w:rPr>
          <w:b/>
        </w:rPr>
        <w:t>Council</w:t>
      </w:r>
      <w:r w:rsidR="00FF68C8" w:rsidRPr="007440C5">
        <w:rPr>
          <w:b/>
        </w:rPr>
        <w:t xml:space="preserve"> </w:t>
      </w:r>
    </w:p>
    <w:p w:rsidR="007440C5" w:rsidRPr="007440C5" w:rsidRDefault="007440C5" w:rsidP="007440C5">
      <w:pPr>
        <w:spacing w:before="120" w:after="0" w:line="288" w:lineRule="auto"/>
        <w:ind w:left="720" w:hanging="720"/>
      </w:pPr>
      <w:r w:rsidRPr="007440C5">
        <w:t>5.7.1</w:t>
      </w:r>
      <w:r w:rsidRPr="007440C5">
        <w:tab/>
      </w:r>
      <w:r w:rsidR="00123458">
        <w:t xml:space="preserve">Possibly reducing student demand may have an impact on the size of the PBSA and off-street shared housing for students in the private rented sector. </w:t>
      </w:r>
    </w:p>
    <w:p w:rsidR="007440C5" w:rsidRPr="007440C5" w:rsidRDefault="007440C5" w:rsidP="00123458">
      <w:pPr>
        <w:spacing w:before="120" w:after="100" w:afterAutospacing="1" w:line="288" w:lineRule="auto"/>
        <w:ind w:left="720" w:hanging="720"/>
      </w:pPr>
      <w:r w:rsidRPr="007440C5">
        <w:t>5.7.2</w:t>
      </w:r>
      <w:r w:rsidRPr="007440C5">
        <w:tab/>
        <w:t xml:space="preserve">While there has clearly been a reduction in the number of </w:t>
      </w:r>
      <w:r w:rsidRPr="007440C5">
        <w:rPr>
          <w:u w:val="single"/>
        </w:rPr>
        <w:t xml:space="preserve">students living in shared housing </w:t>
      </w:r>
      <w:r w:rsidRPr="007440C5">
        <w:t>in some neighbourhoods, analysis of housing market condition</w:t>
      </w:r>
      <w:r w:rsidR="00FF68C8">
        <w:t>s</w:t>
      </w:r>
      <w:r w:rsidRPr="007440C5">
        <w:t xml:space="preserve"> and trends in those neighbourhoods suggests that there may be alternative demand for housing no longer wanted by students, especially from starter households in local south Asian communities, and from young workers unable to afford self-contained rented housing or acce</w:t>
      </w:r>
      <w:r w:rsidR="00FF68C8">
        <w:t>ss home ownership.  That said</w:t>
      </w:r>
      <w:proofErr w:type="gramStart"/>
      <w:r w:rsidR="00FF68C8">
        <w:t>,</w:t>
      </w:r>
      <w:proofErr w:type="gramEnd"/>
      <w:r w:rsidR="00FF68C8">
        <w:t xml:space="preserve"> </w:t>
      </w:r>
      <w:r w:rsidR="00123458">
        <w:t>there will be some slack</w:t>
      </w:r>
      <w:r w:rsidRPr="007440C5">
        <w:t xml:space="preserve"> arising from changing demand </w:t>
      </w:r>
      <w:r w:rsidR="00FF68C8">
        <w:t>among</w:t>
      </w:r>
      <w:r w:rsidRPr="007440C5">
        <w:t xml:space="preserve"> students and a risk of an increase in empty properties resulting from those changes and </w:t>
      </w:r>
      <w:r w:rsidR="00FF68C8">
        <w:t xml:space="preserve">from </w:t>
      </w:r>
      <w:r w:rsidRPr="007440C5">
        <w:t>any failure of the off-street sector</w:t>
      </w:r>
      <w:r w:rsidR="00FF68C8">
        <w:t xml:space="preserve"> to</w:t>
      </w:r>
      <w:r w:rsidRPr="007440C5">
        <w:t xml:space="preserve"> keep pace with </w:t>
      </w:r>
      <w:r w:rsidR="00901F2C">
        <w:t>shifting</w:t>
      </w:r>
      <w:r w:rsidRPr="007440C5">
        <w:t xml:space="preserve"> expectations and requirements. Therefore, t</w:t>
      </w:r>
      <w:r w:rsidR="00123458">
        <w:t>he future sustainability of off-</w:t>
      </w:r>
      <w:r w:rsidRPr="007440C5">
        <w:t>street housing and of some neighbourhoods may depend on improvements in the quality of provision and management of private rented housing.  This will mean that</w:t>
      </w:r>
      <w:r w:rsidR="00901F2C">
        <w:t>:</w:t>
      </w:r>
      <w:r w:rsidRPr="007440C5">
        <w:t xml:space="preserve"> </w:t>
      </w:r>
    </w:p>
    <w:p w:rsidR="007440C5" w:rsidRPr="007440C5" w:rsidRDefault="00901F2C" w:rsidP="00123458">
      <w:pPr>
        <w:numPr>
          <w:ilvl w:val="1"/>
          <w:numId w:val="29"/>
        </w:numPr>
        <w:spacing w:before="120" w:after="0" w:line="288" w:lineRule="auto"/>
        <w:ind w:left="993" w:hanging="284"/>
        <w:contextualSpacing/>
      </w:pPr>
      <w:r>
        <w:t>reviewing p</w:t>
      </w:r>
      <w:r w:rsidR="007440C5" w:rsidRPr="007440C5">
        <w:t xml:space="preserve">olicy and practice in relation to accreditation </w:t>
      </w:r>
      <w:r>
        <w:t>to ensure that</w:t>
      </w:r>
      <w:r w:rsidR="007440C5" w:rsidRPr="007440C5">
        <w:t xml:space="preserve"> a concerted effort by the Council, the University and Unipol achieves more accredited landlords and </w:t>
      </w:r>
      <w:r>
        <w:t>properties</w:t>
      </w:r>
    </w:p>
    <w:p w:rsidR="007440C5" w:rsidRPr="007440C5" w:rsidRDefault="007440C5" w:rsidP="00123458">
      <w:pPr>
        <w:numPr>
          <w:ilvl w:val="1"/>
          <w:numId w:val="29"/>
        </w:numPr>
        <w:spacing w:before="120" w:after="0" w:line="288" w:lineRule="auto"/>
        <w:ind w:left="993" w:hanging="284"/>
        <w:contextualSpacing/>
      </w:pPr>
      <w:r w:rsidRPr="007440C5">
        <w:t>ensuring effective enforcement action on licensing, disrepair and poor management</w:t>
      </w:r>
    </w:p>
    <w:p w:rsidR="007440C5" w:rsidRPr="007440C5" w:rsidRDefault="007440C5" w:rsidP="00123458">
      <w:pPr>
        <w:numPr>
          <w:ilvl w:val="1"/>
          <w:numId w:val="29"/>
        </w:numPr>
        <w:spacing w:before="120" w:after="0" w:line="288" w:lineRule="auto"/>
        <w:ind w:left="993" w:hanging="284"/>
        <w:contextualSpacing/>
      </w:pPr>
      <w:proofErr w:type="gramStart"/>
      <w:r w:rsidRPr="007440C5">
        <w:t>reviewing</w:t>
      </w:r>
      <w:proofErr w:type="gramEnd"/>
      <w:r w:rsidRPr="007440C5">
        <w:t xml:space="preserve"> resources to ensure that effective accreditation and enforcement of standards can take place</w:t>
      </w:r>
      <w:r w:rsidR="00901F2C">
        <w:t>.</w:t>
      </w:r>
    </w:p>
    <w:p w:rsidR="007440C5" w:rsidRPr="007440C5" w:rsidRDefault="007440C5" w:rsidP="007440C5">
      <w:pPr>
        <w:spacing w:before="120" w:after="0" w:line="288" w:lineRule="auto"/>
        <w:ind w:left="720" w:hanging="720"/>
      </w:pPr>
      <w:r w:rsidRPr="007440C5">
        <w:t>5.7.3</w:t>
      </w:r>
      <w:r w:rsidRPr="007440C5">
        <w:tab/>
      </w:r>
      <w:r w:rsidRPr="007440C5">
        <w:rPr>
          <w:rFonts w:cs="Courier New"/>
          <w:color w:val="000000"/>
          <w:u w:val="single"/>
          <w:shd w:val="clear" w:color="auto" w:fill="FFFFFF"/>
        </w:rPr>
        <w:t>Investment in PBSA</w:t>
      </w:r>
      <w:r w:rsidRPr="007440C5">
        <w:rPr>
          <w:rFonts w:cs="Courier New"/>
          <w:color w:val="000000"/>
          <w:shd w:val="clear" w:color="auto" w:fill="FFFFFF"/>
        </w:rPr>
        <w:t xml:space="preserve"> is an issue for the Council and the University.  </w:t>
      </w:r>
      <w:r w:rsidRPr="007440C5">
        <w:rPr>
          <w:rFonts w:cs="Arial"/>
        </w:rPr>
        <w:t>With current levels of demand</w:t>
      </w:r>
      <w:r w:rsidR="00901F2C">
        <w:rPr>
          <w:rFonts w:cs="Arial"/>
        </w:rPr>
        <w:t>,</w:t>
      </w:r>
      <w:r w:rsidRPr="007440C5">
        <w:rPr>
          <w:rFonts w:cs="Arial"/>
        </w:rPr>
        <w:t xml:space="preserve"> it is likely that for every additional purpose</w:t>
      </w:r>
      <w:r w:rsidR="00901F2C">
        <w:rPr>
          <w:rFonts w:cs="Arial"/>
        </w:rPr>
        <w:t>-</w:t>
      </w:r>
      <w:r w:rsidRPr="007440C5">
        <w:rPr>
          <w:rFonts w:cs="Arial"/>
        </w:rPr>
        <w:t>built bed space that is constructed over that period, a bed space will</w:t>
      </w:r>
      <w:r w:rsidR="00901F2C">
        <w:rPr>
          <w:rFonts w:cs="Arial"/>
        </w:rPr>
        <w:t xml:space="preserve"> remain unlet elsewhere in the c</w:t>
      </w:r>
      <w:r w:rsidRPr="007440C5">
        <w:rPr>
          <w:rFonts w:cs="Arial"/>
        </w:rPr>
        <w:t>ity</w:t>
      </w:r>
      <w:r w:rsidRPr="007440C5">
        <w:rPr>
          <w:rFonts w:cs="Courier New"/>
          <w:color w:val="000000"/>
          <w:shd w:val="clear" w:color="auto" w:fill="FFFFFF"/>
        </w:rPr>
        <w:t xml:space="preserve">. Increasing incidence of empty and or derelict PBSA buildings could arise </w:t>
      </w:r>
      <w:r w:rsidR="00901F2C">
        <w:rPr>
          <w:rFonts w:cs="Courier New"/>
          <w:color w:val="000000"/>
          <w:shd w:val="clear" w:color="auto" w:fill="FFFFFF"/>
        </w:rPr>
        <w:t>if</w:t>
      </w:r>
      <w:r w:rsidRPr="007440C5">
        <w:rPr>
          <w:rFonts w:cs="Courier New"/>
          <w:color w:val="000000"/>
          <w:shd w:val="clear" w:color="auto" w:fill="FFFFFF"/>
        </w:rPr>
        <w:t xml:space="preserve"> existing PBSA continue</w:t>
      </w:r>
      <w:r w:rsidR="00901F2C">
        <w:rPr>
          <w:rFonts w:cs="Courier New"/>
          <w:color w:val="000000"/>
          <w:shd w:val="clear" w:color="auto" w:fill="FFFFFF"/>
        </w:rPr>
        <w:t>s</w:t>
      </w:r>
      <w:r w:rsidRPr="007440C5">
        <w:rPr>
          <w:rFonts w:cs="Courier New"/>
          <w:color w:val="000000"/>
          <w:shd w:val="clear" w:color="auto" w:fill="FFFFFF"/>
        </w:rPr>
        <w:t xml:space="preserve"> to lose demand </w:t>
      </w:r>
      <w:r w:rsidR="00901F2C">
        <w:rPr>
          <w:rFonts w:cs="Courier New"/>
          <w:color w:val="000000"/>
          <w:shd w:val="clear" w:color="auto" w:fill="FFFFFF"/>
        </w:rPr>
        <w:t>as a consequence of</w:t>
      </w:r>
      <w:r w:rsidRPr="007440C5">
        <w:rPr>
          <w:rFonts w:cs="Courier New"/>
          <w:color w:val="000000"/>
          <w:shd w:val="clear" w:color="auto" w:fill="FFFFFF"/>
        </w:rPr>
        <w:t xml:space="preserve"> poor location, quality or management; or </w:t>
      </w:r>
      <w:r w:rsidR="00886206">
        <w:rPr>
          <w:rFonts w:cs="Courier New"/>
          <w:color w:val="000000"/>
          <w:shd w:val="clear" w:color="auto" w:fill="FFFFFF"/>
        </w:rPr>
        <w:t>if potential new-</w:t>
      </w:r>
      <w:r w:rsidRPr="007440C5">
        <w:rPr>
          <w:rFonts w:cs="Courier New"/>
          <w:color w:val="000000"/>
          <w:shd w:val="clear" w:color="auto" w:fill="FFFFFF"/>
        </w:rPr>
        <w:t xml:space="preserve">build PBSA </w:t>
      </w:r>
      <w:r w:rsidR="00886206">
        <w:rPr>
          <w:rFonts w:cs="Courier New"/>
          <w:color w:val="000000"/>
          <w:shd w:val="clear" w:color="auto" w:fill="FFFFFF"/>
        </w:rPr>
        <w:t>is</w:t>
      </w:r>
      <w:r w:rsidRPr="007440C5">
        <w:rPr>
          <w:rFonts w:cs="Courier New"/>
          <w:color w:val="000000"/>
          <w:shd w:val="clear" w:color="auto" w:fill="FFFFFF"/>
        </w:rPr>
        <w:t xml:space="preserve"> based on unfeasible expectations of demand</w:t>
      </w:r>
      <w:r w:rsidRPr="007440C5">
        <w:rPr>
          <w:rFonts w:cs="Arial"/>
        </w:rPr>
        <w:t xml:space="preserve">.  </w:t>
      </w:r>
      <w:r w:rsidRPr="007440C5">
        <w:rPr>
          <w:rFonts w:cs="Courier New"/>
          <w:color w:val="000000"/>
          <w:shd w:val="clear" w:color="auto" w:fill="FFFFFF"/>
        </w:rPr>
        <w:t>In</w:t>
      </w:r>
      <w:r w:rsidR="00901F2C">
        <w:rPr>
          <w:rFonts w:cs="Courier New"/>
          <w:color w:val="000000"/>
          <w:shd w:val="clear" w:color="auto" w:fill="FFFFFF"/>
        </w:rPr>
        <w:t xml:space="preserve"> Leeds, t</w:t>
      </w:r>
      <w:r w:rsidRPr="007440C5">
        <w:rPr>
          <w:rFonts w:cs="Courier New"/>
          <w:color w:val="000000"/>
          <w:shd w:val="clear" w:color="auto" w:fill="FFFFFF"/>
        </w:rPr>
        <w:t xml:space="preserve">he Council has been trying to develop planning policy to guide the development of new PBSA in the light of changing demand from students and increasingly speculative investment by developers.  </w:t>
      </w:r>
      <w:r w:rsidRPr="007440C5">
        <w:t>The Council wants its elected members to be assured that proposed developments in the city</w:t>
      </w:r>
      <w:r w:rsidR="00901F2C">
        <w:t xml:space="preserve">, including PBSA developments, </w:t>
      </w:r>
      <w:r w:rsidRPr="007440C5">
        <w:t xml:space="preserve">meet known and likely future needs and add value to the city. It is felt that the presumption towards sustainable development in the National Planning Policy </w:t>
      </w:r>
      <w:r w:rsidRPr="007440C5">
        <w:lastRenderedPageBreak/>
        <w:t xml:space="preserve">Framework should not, on its own, be sufficient justification for new development, and that local priorities set out in LDF Core Strategy should take precedence.  </w:t>
      </w:r>
    </w:p>
    <w:p w:rsidR="007440C5" w:rsidRPr="007440C5" w:rsidRDefault="007440C5" w:rsidP="007440C5">
      <w:pPr>
        <w:spacing w:before="120" w:after="0" w:line="288" w:lineRule="auto"/>
        <w:ind w:left="720" w:hanging="720"/>
      </w:pPr>
      <w:r w:rsidRPr="007440C5">
        <w:t>5.7.4</w:t>
      </w:r>
      <w:r w:rsidRPr="007440C5">
        <w:tab/>
        <w:t>The Council could therefore consider:</w:t>
      </w:r>
    </w:p>
    <w:p w:rsidR="007440C5" w:rsidRPr="007440C5" w:rsidRDefault="007440C5" w:rsidP="00901F2C">
      <w:pPr>
        <w:numPr>
          <w:ilvl w:val="0"/>
          <w:numId w:val="35"/>
        </w:numPr>
        <w:shd w:val="clear" w:color="auto" w:fill="FFFFFF"/>
        <w:spacing w:before="120" w:after="0" w:line="288" w:lineRule="auto"/>
        <w:rPr>
          <w:rFonts w:cs="Arial"/>
        </w:rPr>
      </w:pPr>
      <w:r w:rsidRPr="007440C5">
        <w:t>commissioning a regular (six-monthly) review of all available evidence on student housing demand and the supply needed</w:t>
      </w:r>
    </w:p>
    <w:p w:rsidR="0070417A" w:rsidRPr="00802450" w:rsidRDefault="007440C5" w:rsidP="00886206">
      <w:pPr>
        <w:numPr>
          <w:ilvl w:val="0"/>
          <w:numId w:val="37"/>
        </w:numPr>
        <w:shd w:val="clear" w:color="auto" w:fill="FFFFFF"/>
        <w:spacing w:before="120" w:after="0" w:line="288" w:lineRule="auto"/>
        <w:rPr>
          <w:rFonts w:cs="Arial"/>
        </w:rPr>
      </w:pPr>
      <w:r w:rsidRPr="007440C5">
        <w:t xml:space="preserve">how best to ensure that Councillors are </w:t>
      </w:r>
      <w:r w:rsidR="00901F2C">
        <w:t xml:space="preserve">in a position to make fully informed decisions </w:t>
      </w:r>
      <w:r w:rsidR="0070417A">
        <w:t>on the quality of planning applications for new PBSA, fully equipped with</w:t>
      </w:r>
      <w:r w:rsidR="0070417A" w:rsidRPr="00802450">
        <w:t xml:space="preserve"> evidence on supply and demand for student accommodation, along with specialist knowledge that Council officers have on planning law and regulation relating to student housing and the Council’s wider planning policies.  </w:t>
      </w:r>
    </w:p>
    <w:p w:rsidR="007440C5" w:rsidRPr="007440C5" w:rsidRDefault="007440C5" w:rsidP="007440C5">
      <w:pPr>
        <w:shd w:val="clear" w:color="auto" w:fill="FFFFFF"/>
        <w:spacing w:before="120" w:after="0" w:line="288" w:lineRule="auto"/>
        <w:ind w:left="709"/>
        <w:rPr>
          <w:rFonts w:cs="Arial"/>
        </w:rPr>
      </w:pPr>
      <w:r w:rsidRPr="007440C5">
        <w:t>This information and advice should enable Councillors to judge planning applications against criteria other than the ‘presumption towards development’ from the National Planning Policy Framework, and assess:</w:t>
      </w:r>
    </w:p>
    <w:p w:rsidR="007440C5" w:rsidRPr="007440C5" w:rsidRDefault="007440C5" w:rsidP="00886206">
      <w:pPr>
        <w:numPr>
          <w:ilvl w:val="0"/>
          <w:numId w:val="28"/>
        </w:numPr>
        <w:spacing w:before="120" w:after="0" w:line="288" w:lineRule="auto"/>
        <w:ind w:left="993" w:hanging="284"/>
        <w:rPr>
          <w:rFonts w:cs="Arial"/>
        </w:rPr>
      </w:pPr>
      <w:proofErr w:type="gramStart"/>
      <w:r w:rsidRPr="007440C5">
        <w:t>whether</w:t>
      </w:r>
      <w:proofErr w:type="gramEnd"/>
      <w:r w:rsidRPr="007440C5">
        <w:t xml:space="preserve"> the proposed development is either the subject </w:t>
      </w:r>
      <w:r w:rsidR="00886206">
        <w:t>of</w:t>
      </w:r>
      <w:r w:rsidRPr="007440C5">
        <w:t xml:space="preserve"> any formal agreement with the university/college, or has their active support, and offers a clear benefit to the city.</w:t>
      </w:r>
    </w:p>
    <w:p w:rsidR="007440C5" w:rsidRPr="007440C5" w:rsidRDefault="007440C5" w:rsidP="00886206">
      <w:pPr>
        <w:numPr>
          <w:ilvl w:val="0"/>
          <w:numId w:val="28"/>
        </w:numPr>
        <w:spacing w:before="120" w:after="0" w:line="288" w:lineRule="auto"/>
        <w:ind w:left="993" w:hanging="284"/>
        <w:rPr>
          <w:rFonts w:cs="Arial"/>
        </w:rPr>
      </w:pPr>
      <w:r w:rsidRPr="007440C5">
        <w:rPr>
          <w:rFonts w:cs="Arial"/>
        </w:rPr>
        <w:t xml:space="preserve">whether the </w:t>
      </w:r>
      <w:r w:rsidRPr="007440C5">
        <w:t>proposed development caters for unmet need/demand, where that demand may come from, and whether it offers</w:t>
      </w:r>
      <w:r w:rsidR="00886206">
        <w:rPr>
          <w:rFonts w:cs="Arial"/>
        </w:rPr>
        <w:t xml:space="preserve"> a clear ‘added value’</w:t>
      </w:r>
      <w:r w:rsidR="0070417A">
        <w:rPr>
          <w:rFonts w:cs="Arial"/>
        </w:rPr>
        <w:t xml:space="preserve"> to the city</w:t>
      </w:r>
    </w:p>
    <w:p w:rsidR="007440C5" w:rsidRPr="007440C5" w:rsidRDefault="007440C5" w:rsidP="00886206">
      <w:pPr>
        <w:numPr>
          <w:ilvl w:val="0"/>
          <w:numId w:val="28"/>
        </w:numPr>
        <w:spacing w:before="120" w:after="0" w:line="288" w:lineRule="auto"/>
        <w:ind w:left="993" w:hanging="284"/>
        <w:rPr>
          <w:rFonts w:cs="Arial"/>
        </w:rPr>
      </w:pPr>
      <w:r w:rsidRPr="007440C5">
        <w:rPr>
          <w:rFonts w:cs="Arial"/>
        </w:rPr>
        <w:t xml:space="preserve">whether there is </w:t>
      </w:r>
      <w:r w:rsidRPr="007440C5">
        <w:t xml:space="preserve">a clear and demonstrable requirement for additional bed spaces for new students that would justify </w:t>
      </w:r>
      <w:r w:rsidRPr="007440C5">
        <w:rPr>
          <w:rFonts w:cs="Arial"/>
        </w:rPr>
        <w:t xml:space="preserve">any </w:t>
      </w:r>
      <w:r w:rsidRPr="007440C5">
        <w:t xml:space="preserve">proposed development targeted at </w:t>
      </w:r>
      <w:r w:rsidR="0070417A">
        <w:t>first-</w:t>
      </w:r>
      <w:r w:rsidRPr="007440C5">
        <w:t>year students alone</w:t>
      </w:r>
    </w:p>
    <w:p w:rsidR="007440C5" w:rsidRPr="007440C5" w:rsidRDefault="0070417A" w:rsidP="00886206">
      <w:pPr>
        <w:numPr>
          <w:ilvl w:val="0"/>
          <w:numId w:val="28"/>
        </w:numPr>
        <w:spacing w:before="120" w:after="0" w:line="288" w:lineRule="auto"/>
        <w:ind w:left="993" w:hanging="284"/>
        <w:rPr>
          <w:rFonts w:cs="Arial"/>
        </w:rPr>
      </w:pPr>
      <w:r>
        <w:t>w</w:t>
      </w:r>
      <w:r w:rsidR="007440C5" w:rsidRPr="007440C5">
        <w:t xml:space="preserve">hether the development provides a configuration of housing and provision of facilities that returning students would be looking for, and which are not provided by other existing accommodation (e.g. university or private PBSA, off-street shared housing or city centre apartments) </w:t>
      </w:r>
    </w:p>
    <w:p w:rsidR="007440C5" w:rsidRPr="007440C5" w:rsidRDefault="0070417A" w:rsidP="00886206">
      <w:pPr>
        <w:numPr>
          <w:ilvl w:val="0"/>
          <w:numId w:val="28"/>
        </w:numPr>
        <w:spacing w:before="120" w:after="0" w:line="288" w:lineRule="auto"/>
        <w:ind w:left="993" w:hanging="284"/>
        <w:rPr>
          <w:rFonts w:cs="Arial"/>
        </w:rPr>
      </w:pPr>
      <w:r>
        <w:t>w</w:t>
      </w:r>
      <w:r w:rsidR="007440C5" w:rsidRPr="007440C5">
        <w:t xml:space="preserve">hether the proposed development could claim to be providing a ‘product’ </w:t>
      </w:r>
      <w:r>
        <w:t>which is different to what is</w:t>
      </w:r>
      <w:r w:rsidR="007440C5" w:rsidRPr="007440C5">
        <w:t xml:space="preserve"> currently </w:t>
      </w:r>
      <w:r>
        <w:t>available, which</w:t>
      </w:r>
      <w:r w:rsidR="007440C5" w:rsidRPr="007440C5">
        <w:t xml:space="preserve"> may be more attractive to students and their parents than existing accommodation, or </w:t>
      </w:r>
      <w:r>
        <w:t xml:space="preserve">which </w:t>
      </w:r>
      <w:r w:rsidR="007440C5" w:rsidRPr="007440C5">
        <w:t xml:space="preserve">could be re-orientated towards meeting demand from  </w:t>
      </w:r>
      <w:r w:rsidR="007440C5" w:rsidRPr="007440C5">
        <w:rPr>
          <w:rFonts w:cs="Arial"/>
        </w:rPr>
        <w:t>alternative sources such as young working people</w:t>
      </w:r>
    </w:p>
    <w:p w:rsidR="007440C5" w:rsidRPr="007440C5" w:rsidRDefault="0070417A" w:rsidP="00886206">
      <w:pPr>
        <w:numPr>
          <w:ilvl w:val="0"/>
          <w:numId w:val="28"/>
        </w:numPr>
        <w:spacing w:before="120" w:after="0" w:line="288" w:lineRule="auto"/>
        <w:ind w:left="993" w:hanging="284"/>
        <w:rPr>
          <w:rFonts w:cs="Arial"/>
        </w:rPr>
      </w:pPr>
      <w:r>
        <w:rPr>
          <w:rFonts w:cs="Arial"/>
        </w:rPr>
        <w:t>w</w:t>
      </w:r>
      <w:r w:rsidR="007440C5" w:rsidRPr="007440C5">
        <w:rPr>
          <w:rFonts w:cs="Arial"/>
        </w:rPr>
        <w:t xml:space="preserve">hether there are any </w:t>
      </w:r>
      <w:r w:rsidR="007440C5" w:rsidRPr="007440C5">
        <w:t>potentially negative impacts of new developments on the amenity of residents in the immediate area and whether there may be any potential impact, positive or negative, on existing older university maintained accommodation</w:t>
      </w:r>
      <w:r>
        <w:t xml:space="preserve"> or on off-street</w:t>
      </w:r>
      <w:r w:rsidR="007440C5" w:rsidRPr="007440C5">
        <w:t xml:space="preserve"> shared </w:t>
      </w:r>
      <w:r>
        <w:t xml:space="preserve">housing in the </w:t>
      </w:r>
      <w:r w:rsidR="007440C5" w:rsidRPr="007440C5">
        <w:t>private rented</w:t>
      </w:r>
      <w:r>
        <w:t xml:space="preserve"> market</w:t>
      </w:r>
      <w:r w:rsidR="007440C5" w:rsidRPr="007440C5">
        <w:t>, or any risk of an increased number of empty properties, resulting from a switch in demand to the proposed development from provisions.</w:t>
      </w:r>
    </w:p>
    <w:p w:rsidR="007440C5" w:rsidRPr="007440C5" w:rsidRDefault="007440C5" w:rsidP="007440C5">
      <w:pPr>
        <w:spacing w:before="120" w:after="0" w:line="288" w:lineRule="auto"/>
        <w:rPr>
          <w:b/>
        </w:rPr>
      </w:pPr>
      <w:r w:rsidRPr="007440C5">
        <w:rPr>
          <w:b/>
        </w:rPr>
        <w:t xml:space="preserve">5.8 </w:t>
      </w:r>
      <w:r w:rsidRPr="007440C5">
        <w:rPr>
          <w:b/>
        </w:rPr>
        <w:tab/>
        <w:t>Implications for U</w:t>
      </w:r>
      <w:r w:rsidR="00D17CD3">
        <w:rPr>
          <w:b/>
        </w:rPr>
        <w:t>nipol</w:t>
      </w:r>
    </w:p>
    <w:p w:rsidR="000F04D6" w:rsidRDefault="000F04D6" w:rsidP="00C26808">
      <w:pPr>
        <w:spacing w:before="120" w:after="0" w:line="288" w:lineRule="auto"/>
        <w:ind w:left="720" w:hanging="720"/>
        <w:rPr>
          <w:rFonts w:cs="Courier New"/>
          <w:color w:val="000000"/>
          <w:shd w:val="clear" w:color="auto" w:fill="FFFFFF"/>
        </w:rPr>
      </w:pPr>
      <w:r>
        <w:rPr>
          <w:rFonts w:cs="Courier New"/>
          <w:color w:val="000000"/>
          <w:shd w:val="clear" w:color="auto" w:fill="FFFFFF"/>
        </w:rPr>
        <w:t>5.8.1</w:t>
      </w:r>
      <w:r>
        <w:rPr>
          <w:rFonts w:cs="Courier New"/>
          <w:color w:val="000000"/>
          <w:shd w:val="clear" w:color="auto" w:fill="FFFFFF"/>
        </w:rPr>
        <w:tab/>
        <w:t xml:space="preserve">Unipol could examine developing, in partnership with the University and off-street landlords, an initiative where an </w:t>
      </w:r>
      <w:r w:rsidRPr="000F04D6">
        <w:rPr>
          <w:rFonts w:cs="Courier New"/>
          <w:color w:val="000000"/>
          <w:u w:val="single"/>
          <w:shd w:val="clear" w:color="auto" w:fill="FFFFFF"/>
        </w:rPr>
        <w:t>Accreditation Plus</w:t>
      </w:r>
      <w:r>
        <w:rPr>
          <w:rFonts w:cs="Courier New"/>
          <w:color w:val="000000"/>
          <w:shd w:val="clear" w:color="auto" w:fill="FFFFFF"/>
        </w:rPr>
        <w:t xml:space="preserve"> badge is granted to off-street houses as appropriate, underpinned possibly by an annual inspection regime to ensure that these properties and their amenities and management meet a prescribed set of standards. Unipol could help landlords seeking to meet higher standards (particularly in the organisation of a managed </w:t>
      </w:r>
      <w:proofErr w:type="spellStart"/>
      <w:r>
        <w:rPr>
          <w:rFonts w:cs="Courier New"/>
          <w:color w:val="000000"/>
          <w:shd w:val="clear" w:color="auto" w:fill="FFFFFF"/>
        </w:rPr>
        <w:t>WiFi</w:t>
      </w:r>
      <w:proofErr w:type="spellEnd"/>
      <w:r>
        <w:rPr>
          <w:rFonts w:cs="Courier New"/>
          <w:color w:val="000000"/>
          <w:shd w:val="clear" w:color="auto" w:fill="FFFFFF"/>
        </w:rPr>
        <w:t xml:space="preserve"> service) and could facilitate utility-inclusive rents by assisting in the bulk purchase of energy.</w:t>
      </w:r>
    </w:p>
    <w:p w:rsidR="007440C5" w:rsidRPr="007440C5" w:rsidRDefault="007440C5" w:rsidP="00C26808">
      <w:pPr>
        <w:spacing w:before="120" w:after="0" w:line="288" w:lineRule="auto"/>
        <w:ind w:left="720" w:hanging="720"/>
      </w:pPr>
      <w:r w:rsidRPr="007440C5">
        <w:rPr>
          <w:rFonts w:cs="Courier New"/>
          <w:b/>
          <w:color w:val="FF0000"/>
          <w:shd w:val="clear" w:color="auto" w:fill="FFFFFF"/>
        </w:rPr>
        <w:t xml:space="preserve"> </w:t>
      </w:r>
    </w:p>
    <w:p w:rsidR="000F04D6" w:rsidRDefault="000F04D6" w:rsidP="000F04D6">
      <w:pPr>
        <w:spacing w:after="0" w:line="240" w:lineRule="auto"/>
        <w:rPr>
          <w:rFonts w:eastAsia="Times New Roman" w:cs="Arial"/>
          <w:color w:val="000000"/>
          <w:lang w:eastAsia="en-GB"/>
        </w:rPr>
      </w:pPr>
      <w:r>
        <w:rPr>
          <w:rFonts w:eastAsia="Times New Roman" w:cs="Arial"/>
          <w:color w:val="000000"/>
          <w:lang w:eastAsia="en-GB"/>
        </w:rPr>
        <w:lastRenderedPageBreak/>
        <w:t>5.8.2</w:t>
      </w:r>
      <w:r>
        <w:rPr>
          <w:rFonts w:eastAsia="Times New Roman" w:cs="Arial"/>
          <w:color w:val="000000"/>
          <w:lang w:eastAsia="en-GB"/>
        </w:rPr>
        <w:tab/>
        <w:t xml:space="preserve">The Accreditation Plus properties would then be in the forefront of lettings in the off-street market. </w:t>
      </w:r>
      <w:r w:rsidR="00DD7DB9">
        <w:rPr>
          <w:rFonts w:eastAsia="Times New Roman" w:cs="Arial"/>
          <w:color w:val="000000"/>
          <w:lang w:eastAsia="en-GB"/>
        </w:rPr>
        <w:tab/>
      </w:r>
      <w:r>
        <w:rPr>
          <w:rFonts w:eastAsia="Times New Roman" w:cs="Arial"/>
          <w:color w:val="000000"/>
          <w:lang w:eastAsia="en-GB"/>
        </w:rPr>
        <w:t xml:space="preserve">The scheme would seek to identify a specific number of high quality properties that would meet the </w:t>
      </w:r>
      <w:r w:rsidR="00DD7DB9">
        <w:rPr>
          <w:rFonts w:eastAsia="Times New Roman" w:cs="Arial"/>
          <w:color w:val="000000"/>
          <w:lang w:eastAsia="en-GB"/>
        </w:rPr>
        <w:tab/>
      </w:r>
      <w:r>
        <w:rPr>
          <w:rFonts w:eastAsia="Times New Roman" w:cs="Arial"/>
          <w:color w:val="000000"/>
          <w:lang w:eastAsia="en-GB"/>
        </w:rPr>
        <w:t xml:space="preserve">needs of those students </w:t>
      </w:r>
      <w:r w:rsidR="00DD7DB9">
        <w:rPr>
          <w:rFonts w:eastAsia="Times New Roman" w:cs="Arial"/>
          <w:color w:val="000000"/>
          <w:lang w:eastAsia="en-GB"/>
        </w:rPr>
        <w:t>wanting</w:t>
      </w:r>
      <w:r>
        <w:rPr>
          <w:rFonts w:eastAsia="Times New Roman" w:cs="Arial"/>
          <w:color w:val="000000"/>
          <w:lang w:eastAsia="en-GB"/>
        </w:rPr>
        <w:t xml:space="preserve"> to leave PBSA and make the transition into a smaller house without </w:t>
      </w:r>
      <w:r w:rsidR="00DD7DB9">
        <w:rPr>
          <w:rFonts w:eastAsia="Times New Roman" w:cs="Arial"/>
          <w:color w:val="000000"/>
          <w:lang w:eastAsia="en-GB"/>
        </w:rPr>
        <w:tab/>
      </w:r>
      <w:r>
        <w:rPr>
          <w:rFonts w:eastAsia="Times New Roman" w:cs="Arial"/>
          <w:color w:val="000000"/>
          <w:lang w:eastAsia="en-GB"/>
        </w:rPr>
        <w:t>suffering a material loss of amenity.</w:t>
      </w:r>
    </w:p>
    <w:p w:rsidR="000F04D6" w:rsidRDefault="000F04D6" w:rsidP="000F04D6">
      <w:pPr>
        <w:spacing w:after="0" w:line="240" w:lineRule="auto"/>
        <w:rPr>
          <w:rFonts w:eastAsia="Times New Roman" w:cs="Arial"/>
          <w:color w:val="000000"/>
          <w:lang w:eastAsia="en-GB"/>
        </w:rPr>
      </w:pPr>
    </w:p>
    <w:p w:rsidR="000F04D6" w:rsidRPr="000F04D6" w:rsidRDefault="00DD7DB9" w:rsidP="000F04D6">
      <w:pPr>
        <w:spacing w:after="0" w:line="240" w:lineRule="auto"/>
        <w:rPr>
          <w:rFonts w:eastAsia="Times New Roman" w:cs="Arial"/>
          <w:color w:val="000000"/>
          <w:lang w:eastAsia="en-GB"/>
        </w:rPr>
      </w:pPr>
      <w:r>
        <w:rPr>
          <w:rFonts w:eastAsia="Times New Roman" w:cs="Arial"/>
          <w:color w:val="000000"/>
          <w:lang w:eastAsia="en-GB"/>
        </w:rPr>
        <w:t>5.8.3</w:t>
      </w:r>
      <w:r>
        <w:rPr>
          <w:rFonts w:eastAsia="Times New Roman" w:cs="Arial"/>
          <w:color w:val="000000"/>
          <w:lang w:eastAsia="en-GB"/>
        </w:rPr>
        <w:tab/>
      </w:r>
      <w:r w:rsidR="000F04D6">
        <w:rPr>
          <w:rFonts w:eastAsia="Times New Roman" w:cs="Arial"/>
          <w:color w:val="000000"/>
          <w:lang w:eastAsia="en-GB"/>
        </w:rPr>
        <w:t xml:space="preserve">The scheme would sit on top of the existing Unipol Code and Unipol would </w:t>
      </w:r>
      <w:r>
        <w:rPr>
          <w:rFonts w:eastAsia="Times New Roman" w:cs="Arial"/>
          <w:color w:val="000000"/>
          <w:lang w:eastAsia="en-GB"/>
        </w:rPr>
        <w:t>be looking to</w:t>
      </w:r>
      <w:r w:rsidR="000F04D6">
        <w:rPr>
          <w:rFonts w:eastAsia="Times New Roman" w:cs="Arial"/>
          <w:color w:val="000000"/>
          <w:lang w:eastAsia="en-GB"/>
        </w:rPr>
        <w:t xml:space="preserve"> enter into a </w:t>
      </w:r>
      <w:r>
        <w:rPr>
          <w:rFonts w:eastAsia="Times New Roman" w:cs="Arial"/>
          <w:color w:val="000000"/>
          <w:lang w:eastAsia="en-GB"/>
        </w:rPr>
        <w:tab/>
      </w:r>
      <w:r w:rsidR="000F04D6">
        <w:rPr>
          <w:rFonts w:eastAsia="Times New Roman" w:cs="Arial"/>
          <w:color w:val="000000"/>
          <w:lang w:eastAsia="en-GB"/>
        </w:rPr>
        <w:t>closer partner relationship with these special providers.</w:t>
      </w:r>
    </w:p>
    <w:p w:rsidR="000F04D6" w:rsidRPr="000F04D6" w:rsidRDefault="000F04D6" w:rsidP="000F04D6">
      <w:pPr>
        <w:spacing w:after="0" w:line="240" w:lineRule="auto"/>
        <w:rPr>
          <w:rFonts w:eastAsia="Times New Roman" w:cs="Arial"/>
          <w:color w:val="000000"/>
          <w:lang w:eastAsia="en-GB"/>
        </w:rPr>
      </w:pPr>
      <w:r w:rsidRPr="000F04D6">
        <w:rPr>
          <w:rFonts w:eastAsia="Times New Roman" w:cs="Arial"/>
          <w:color w:val="000000"/>
          <w:lang w:eastAsia="en-GB"/>
        </w:rPr>
        <w:t> </w:t>
      </w:r>
    </w:p>
    <w:p w:rsidR="000F04D6" w:rsidRPr="000F04D6" w:rsidRDefault="000F04D6" w:rsidP="000F04D6">
      <w:pPr>
        <w:spacing w:after="0" w:line="240" w:lineRule="auto"/>
        <w:rPr>
          <w:rFonts w:eastAsia="Times New Roman" w:cs="Arial"/>
          <w:color w:val="000000"/>
          <w:lang w:eastAsia="en-GB"/>
        </w:rPr>
      </w:pPr>
      <w:r w:rsidRPr="000F04D6">
        <w:rPr>
          <w:rFonts w:eastAsia="Times New Roman" w:cs="Arial"/>
          <w:color w:val="000000"/>
          <w:lang w:eastAsia="en-GB"/>
        </w:rPr>
        <w:t> </w:t>
      </w:r>
    </w:p>
    <w:p w:rsidR="00322F7B" w:rsidRDefault="00322F7B"/>
    <w:sectPr w:rsidR="00322F7B" w:rsidSect="00BB288F">
      <w:headerReference w:type="default" r:id="rId29"/>
      <w:footerReference w:type="default" r:id="rId30"/>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EC2" w:rsidRDefault="005A1EC2" w:rsidP="007440C5">
      <w:pPr>
        <w:spacing w:after="0" w:line="240" w:lineRule="auto"/>
      </w:pPr>
      <w:r>
        <w:separator/>
      </w:r>
    </w:p>
  </w:endnote>
  <w:endnote w:type="continuationSeparator" w:id="0">
    <w:p w:rsidR="005A1EC2" w:rsidRDefault="005A1EC2" w:rsidP="0074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876168"/>
      <w:docPartObj>
        <w:docPartGallery w:val="Page Numbers (Bottom of Page)"/>
        <w:docPartUnique/>
      </w:docPartObj>
    </w:sdtPr>
    <w:sdtEndPr>
      <w:rPr>
        <w:noProof/>
      </w:rPr>
    </w:sdtEndPr>
    <w:sdtContent>
      <w:p w:rsidR="000F04D6" w:rsidRDefault="000F04D6" w:rsidP="00BB288F">
        <w:pPr>
          <w:pStyle w:val="Footer"/>
          <w:tabs>
            <w:tab w:val="left" w:pos="8647"/>
          </w:tabs>
          <w:jc w:val="right"/>
        </w:pPr>
        <w:r>
          <w:fldChar w:fldCharType="begin"/>
        </w:r>
        <w:r>
          <w:instrText xml:space="preserve"> PAGE   \* MERGEFORMAT </w:instrText>
        </w:r>
        <w:r>
          <w:fldChar w:fldCharType="separate"/>
        </w:r>
        <w:r w:rsidR="005B4FBA">
          <w:rPr>
            <w:noProof/>
          </w:rPr>
          <w:t>49</w:t>
        </w:r>
        <w:r>
          <w:rPr>
            <w:noProof/>
          </w:rPr>
          <w:fldChar w:fldCharType="end"/>
        </w:r>
      </w:p>
    </w:sdtContent>
  </w:sdt>
  <w:p w:rsidR="000F04D6" w:rsidRDefault="000F04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EC2" w:rsidRDefault="005A1EC2" w:rsidP="007440C5">
      <w:pPr>
        <w:spacing w:after="0" w:line="240" w:lineRule="auto"/>
      </w:pPr>
      <w:r>
        <w:separator/>
      </w:r>
    </w:p>
  </w:footnote>
  <w:footnote w:type="continuationSeparator" w:id="0">
    <w:p w:rsidR="005A1EC2" w:rsidRDefault="005A1EC2" w:rsidP="007440C5">
      <w:pPr>
        <w:spacing w:after="0" w:line="240" w:lineRule="auto"/>
      </w:pPr>
      <w:r>
        <w:continuationSeparator/>
      </w:r>
    </w:p>
  </w:footnote>
  <w:footnote w:id="1">
    <w:p w:rsidR="000F04D6" w:rsidRDefault="000F04D6" w:rsidP="007E6B98">
      <w:pPr>
        <w:pStyle w:val="FootnoteText"/>
      </w:pPr>
      <w:r>
        <w:rPr>
          <w:rStyle w:val="FootnoteReference"/>
        </w:rPr>
        <w:footnoteRef/>
      </w:r>
      <w:r>
        <w:t xml:space="preserve"> </w:t>
      </w:r>
      <w:r w:rsidR="009A365C">
        <w:tab/>
      </w:r>
      <w:r w:rsidRPr="009A365C">
        <w:rPr>
          <w:i/>
          <w:sz w:val="18"/>
          <w:szCs w:val="18"/>
        </w:rPr>
        <w:t>Bradford owners’ briefings</w:t>
      </w:r>
      <w:r w:rsidRPr="009A365C">
        <w:rPr>
          <w:sz w:val="18"/>
          <w:szCs w:val="18"/>
        </w:rPr>
        <w:t>, Unipol</w:t>
      </w:r>
    </w:p>
  </w:footnote>
  <w:footnote w:id="2">
    <w:p w:rsidR="000F04D6" w:rsidRPr="0084644A" w:rsidRDefault="000F04D6" w:rsidP="007440C5">
      <w:pPr>
        <w:pStyle w:val="FootnoteText"/>
        <w:rPr>
          <w:sz w:val="18"/>
          <w:szCs w:val="18"/>
        </w:rPr>
      </w:pPr>
      <w:r w:rsidRPr="0084644A">
        <w:rPr>
          <w:rStyle w:val="FootnoteReference"/>
          <w:sz w:val="18"/>
          <w:szCs w:val="18"/>
        </w:rPr>
        <w:footnoteRef/>
      </w:r>
      <w:r w:rsidRPr="0084644A">
        <w:rPr>
          <w:sz w:val="18"/>
          <w:szCs w:val="18"/>
        </w:rPr>
        <w:t xml:space="preserve"> </w:t>
      </w:r>
      <w:r>
        <w:rPr>
          <w:sz w:val="18"/>
          <w:szCs w:val="18"/>
        </w:rPr>
        <w:tab/>
      </w:r>
      <w:r w:rsidRPr="0084644A">
        <w:rPr>
          <w:sz w:val="18"/>
          <w:szCs w:val="18"/>
        </w:rPr>
        <w:t xml:space="preserve">See triennial </w:t>
      </w:r>
      <w:r w:rsidRPr="009A365C">
        <w:rPr>
          <w:i/>
          <w:sz w:val="18"/>
          <w:szCs w:val="18"/>
        </w:rPr>
        <w:t>Accommodation Costs Survey</w:t>
      </w:r>
      <w:r w:rsidRPr="0084644A">
        <w:rPr>
          <w:sz w:val="18"/>
          <w:szCs w:val="18"/>
        </w:rPr>
        <w:t>, NUS / Unipol</w:t>
      </w:r>
    </w:p>
  </w:footnote>
  <w:footnote w:id="3">
    <w:p w:rsidR="000F04D6" w:rsidRDefault="000F04D6" w:rsidP="007440C5">
      <w:pPr>
        <w:pStyle w:val="FootnoteText"/>
      </w:pPr>
      <w:r w:rsidRPr="0084644A">
        <w:rPr>
          <w:rStyle w:val="FootnoteReference"/>
          <w:sz w:val="18"/>
          <w:szCs w:val="18"/>
        </w:rPr>
        <w:footnoteRef/>
      </w:r>
      <w:r w:rsidRPr="0084644A">
        <w:rPr>
          <w:sz w:val="18"/>
          <w:szCs w:val="18"/>
        </w:rPr>
        <w:t xml:space="preserve"> </w:t>
      </w:r>
      <w:r>
        <w:rPr>
          <w:sz w:val="18"/>
          <w:szCs w:val="18"/>
        </w:rPr>
        <w:tab/>
        <w:t xml:space="preserve">See </w:t>
      </w:r>
      <w:r w:rsidR="009A365C">
        <w:rPr>
          <w:i/>
          <w:sz w:val="18"/>
          <w:szCs w:val="18"/>
        </w:rPr>
        <w:t xml:space="preserve">Enhancing the student </w:t>
      </w:r>
      <w:r w:rsidR="009A365C" w:rsidRPr="009A365C">
        <w:rPr>
          <w:sz w:val="18"/>
          <w:szCs w:val="18"/>
        </w:rPr>
        <w:t>experience</w:t>
      </w:r>
      <w:r w:rsidR="009A365C">
        <w:rPr>
          <w:sz w:val="18"/>
          <w:szCs w:val="18"/>
        </w:rPr>
        <w:t xml:space="preserve">, </w:t>
      </w:r>
      <w:r w:rsidRPr="009A365C">
        <w:rPr>
          <w:sz w:val="18"/>
          <w:szCs w:val="18"/>
        </w:rPr>
        <w:t>CUBO</w:t>
      </w:r>
      <w:r w:rsidRPr="0084644A">
        <w:rPr>
          <w:sz w:val="18"/>
          <w:szCs w:val="18"/>
        </w:rPr>
        <w:t>/</w:t>
      </w:r>
      <w:proofErr w:type="spellStart"/>
      <w:r w:rsidRPr="0084644A">
        <w:rPr>
          <w:sz w:val="18"/>
          <w:szCs w:val="18"/>
        </w:rPr>
        <w:t>i</w:t>
      </w:r>
      <w:proofErr w:type="spellEnd"/>
      <w:r w:rsidRPr="0084644A">
        <w:rPr>
          <w:sz w:val="18"/>
          <w:szCs w:val="18"/>
        </w:rPr>
        <w:t>-graduate, 2008</w:t>
      </w:r>
    </w:p>
  </w:footnote>
  <w:footnote w:id="4">
    <w:p w:rsidR="000F04D6" w:rsidRPr="001B4E51" w:rsidRDefault="000F04D6">
      <w:pPr>
        <w:pStyle w:val="FootnoteText"/>
      </w:pPr>
      <w:r>
        <w:rPr>
          <w:rStyle w:val="FootnoteReference"/>
        </w:rPr>
        <w:footnoteRef/>
      </w:r>
      <w:r>
        <w:t xml:space="preserve"> </w:t>
      </w:r>
      <w:r>
        <w:tab/>
      </w:r>
      <w:r w:rsidRPr="009A365C">
        <w:rPr>
          <w:i/>
          <w:sz w:val="18"/>
          <w:szCs w:val="18"/>
        </w:rPr>
        <w:t>Assessment of housing market conditions and demand trends in Inner North-West Leeds</w:t>
      </w:r>
      <w:r w:rsidRPr="009A365C">
        <w:rPr>
          <w:sz w:val="18"/>
          <w:szCs w:val="18"/>
        </w:rPr>
        <w:t xml:space="preserve">, </w:t>
      </w:r>
      <w:proofErr w:type="spellStart"/>
      <w:r w:rsidRPr="009A365C">
        <w:rPr>
          <w:sz w:val="18"/>
          <w:szCs w:val="18"/>
        </w:rPr>
        <w:t>re’new</w:t>
      </w:r>
      <w:proofErr w:type="spellEnd"/>
      <w:r w:rsidRPr="009A365C">
        <w:rPr>
          <w:sz w:val="18"/>
          <w:szCs w:val="18"/>
        </w:rPr>
        <w:t xml:space="preserve"> and Unipol, </w:t>
      </w:r>
      <w:r w:rsidRPr="009A365C">
        <w:rPr>
          <w:sz w:val="18"/>
          <w:szCs w:val="18"/>
        </w:rPr>
        <w:tab/>
        <w:t xml:space="preserve">2012; </w:t>
      </w:r>
      <w:r w:rsidRPr="009A365C">
        <w:rPr>
          <w:i/>
          <w:sz w:val="18"/>
          <w:szCs w:val="18"/>
        </w:rPr>
        <w:t>Assessment of student residence and housing market conditions in Nottingham</w:t>
      </w:r>
      <w:r w:rsidRPr="009A365C">
        <w:rPr>
          <w:sz w:val="18"/>
          <w:szCs w:val="18"/>
        </w:rPr>
        <w:t xml:space="preserve">, </w:t>
      </w:r>
      <w:proofErr w:type="spellStart"/>
      <w:r w:rsidRPr="009A365C">
        <w:rPr>
          <w:sz w:val="18"/>
          <w:szCs w:val="18"/>
        </w:rPr>
        <w:t>re’new</w:t>
      </w:r>
      <w:proofErr w:type="spellEnd"/>
      <w:r w:rsidRPr="009A365C">
        <w:rPr>
          <w:sz w:val="18"/>
          <w:szCs w:val="18"/>
        </w:rPr>
        <w:t xml:space="preserve"> and Unipol, 2013</w:t>
      </w:r>
    </w:p>
  </w:footnote>
  <w:footnote w:id="5">
    <w:p w:rsidR="000F04D6" w:rsidRPr="00F74F45" w:rsidRDefault="000F04D6" w:rsidP="00F74F45">
      <w:pPr>
        <w:tabs>
          <w:tab w:val="left" w:pos="993"/>
        </w:tabs>
        <w:spacing w:before="120" w:after="0"/>
        <w:ind w:left="720"/>
        <w:rPr>
          <w:sz w:val="18"/>
        </w:rPr>
      </w:pPr>
      <w:r>
        <w:rPr>
          <w:rStyle w:val="FootnoteReference"/>
        </w:rPr>
        <w:footnoteRef/>
      </w:r>
      <w:r>
        <w:tab/>
      </w:r>
      <w:r w:rsidRPr="00F74F45">
        <w:rPr>
          <w:sz w:val="18"/>
        </w:rPr>
        <w:t xml:space="preserve">Local authority housing in Bradford has been transferred to </w:t>
      </w:r>
      <w:proofErr w:type="spellStart"/>
      <w:r w:rsidRPr="00F74F45">
        <w:rPr>
          <w:sz w:val="18"/>
        </w:rPr>
        <w:t>InCommunities</w:t>
      </w:r>
      <w:proofErr w:type="spellEnd"/>
      <w:r w:rsidRPr="00F74F45">
        <w:rPr>
          <w:sz w:val="18"/>
        </w:rPr>
        <w:t xml:space="preserve"> – a housing association </w:t>
      </w:r>
    </w:p>
    <w:p w:rsidR="000F04D6" w:rsidRPr="00F74F45" w:rsidRDefault="000F04D6" w:rsidP="00F74F45">
      <w:pPr>
        <w:pStyle w:val="FootnoteText"/>
        <w:tabs>
          <w:tab w:val="left" w:pos="993"/>
        </w:tabs>
      </w:pPr>
    </w:p>
  </w:footnote>
  <w:footnote w:id="6">
    <w:p w:rsidR="000F04D6" w:rsidRDefault="000F04D6" w:rsidP="007440C5">
      <w:pPr>
        <w:pStyle w:val="FootnoteText"/>
      </w:pPr>
      <w:r>
        <w:rPr>
          <w:rStyle w:val="FootnoteReference"/>
        </w:rPr>
        <w:footnoteRef/>
      </w:r>
      <w:r>
        <w:t xml:space="preserve"> </w:t>
      </w:r>
      <w:r>
        <w:tab/>
      </w:r>
      <w:r w:rsidRPr="00B82722">
        <w:rPr>
          <w:rFonts w:ascii="Calibri" w:eastAsia="Times New Roman" w:hAnsi="Calibri" w:cs="Arial"/>
          <w:sz w:val="18"/>
          <w:lang w:eastAsia="en-GB"/>
        </w:rPr>
        <w:t xml:space="preserve">Of the accommodation not covered by the </w:t>
      </w:r>
      <w:r>
        <w:rPr>
          <w:rFonts w:ascii="Calibri" w:eastAsia="Times New Roman" w:hAnsi="Calibri" w:cs="Arial"/>
          <w:sz w:val="18"/>
          <w:lang w:eastAsia="en-GB"/>
        </w:rPr>
        <w:t>ANUK/</w:t>
      </w:r>
      <w:r w:rsidRPr="00B82722">
        <w:rPr>
          <w:rFonts w:ascii="Calibri" w:eastAsia="Times New Roman" w:hAnsi="Calibri" w:cs="Arial"/>
          <w:sz w:val="18"/>
          <w:lang w:eastAsia="en-GB"/>
        </w:rPr>
        <w:t xml:space="preserve">Unipol Code of Standards, </w:t>
      </w:r>
      <w:proofErr w:type="spellStart"/>
      <w:r w:rsidRPr="00B82722">
        <w:rPr>
          <w:rFonts w:ascii="Calibri" w:eastAsia="Times New Roman" w:hAnsi="Calibri" w:cs="Arial"/>
          <w:sz w:val="18"/>
          <w:lang w:eastAsia="en-GB"/>
        </w:rPr>
        <w:t>Hockney</w:t>
      </w:r>
      <w:proofErr w:type="spellEnd"/>
      <w:r w:rsidRPr="00B82722">
        <w:rPr>
          <w:rFonts w:ascii="Calibri" w:eastAsia="Times New Roman" w:hAnsi="Calibri" w:cs="Arial"/>
          <w:sz w:val="18"/>
          <w:lang w:eastAsia="en-GB"/>
        </w:rPr>
        <w:t xml:space="preserve"> Court, Summer Berry and </w:t>
      </w:r>
      <w:proofErr w:type="spellStart"/>
      <w:r w:rsidRPr="00B82722">
        <w:rPr>
          <w:rFonts w:ascii="Calibri" w:eastAsia="Times New Roman" w:hAnsi="Calibri" w:cs="Arial"/>
          <w:sz w:val="18"/>
          <w:lang w:eastAsia="en-GB"/>
        </w:rPr>
        <w:t>Sunbridge</w:t>
      </w:r>
      <w:proofErr w:type="spellEnd"/>
      <w:r w:rsidRPr="00B82722">
        <w:rPr>
          <w:rFonts w:ascii="Calibri" w:eastAsia="Times New Roman" w:hAnsi="Calibri" w:cs="Arial"/>
          <w:sz w:val="18"/>
          <w:lang w:eastAsia="en-GB"/>
        </w:rPr>
        <w:t xml:space="preserve"> </w:t>
      </w:r>
      <w:r>
        <w:rPr>
          <w:rFonts w:ascii="Calibri" w:eastAsia="Times New Roman" w:hAnsi="Calibri" w:cs="Arial"/>
          <w:sz w:val="18"/>
          <w:lang w:eastAsia="en-GB"/>
        </w:rPr>
        <w:tab/>
      </w:r>
      <w:r w:rsidRPr="00B82722">
        <w:rPr>
          <w:rFonts w:ascii="Calibri" w:eastAsia="Times New Roman" w:hAnsi="Calibri" w:cs="Arial"/>
          <w:sz w:val="18"/>
          <w:lang w:eastAsia="en-GB"/>
        </w:rPr>
        <w:t>Halls are not exclusively for students</w:t>
      </w:r>
    </w:p>
  </w:footnote>
  <w:footnote w:id="7">
    <w:p w:rsidR="000F04D6" w:rsidRDefault="000F04D6" w:rsidP="007440C5">
      <w:pPr>
        <w:pStyle w:val="FootnoteText"/>
      </w:pPr>
      <w:r>
        <w:rPr>
          <w:rStyle w:val="FootnoteReference"/>
        </w:rPr>
        <w:footnoteRef/>
      </w:r>
      <w:r>
        <w:t xml:space="preserve"> </w:t>
      </w:r>
      <w:r>
        <w:tab/>
      </w:r>
      <w:r w:rsidRPr="0008205A">
        <w:rPr>
          <w:sz w:val="18"/>
          <w:szCs w:val="18"/>
        </w:rPr>
        <w:t>http://www.appletonpointstudent.com/why-invest</w:t>
      </w:r>
    </w:p>
  </w:footnote>
  <w:footnote w:id="8">
    <w:p w:rsidR="000F04D6" w:rsidRDefault="000F04D6" w:rsidP="007440C5">
      <w:pPr>
        <w:pStyle w:val="FootnoteText"/>
      </w:pPr>
      <w:r>
        <w:rPr>
          <w:rStyle w:val="FootnoteReference"/>
        </w:rPr>
        <w:footnoteRef/>
      </w:r>
      <w:r>
        <w:t xml:space="preserve"> </w:t>
      </w:r>
      <w:r>
        <w:tab/>
      </w:r>
      <w:r w:rsidRPr="0008205A">
        <w:rPr>
          <w:sz w:val="18"/>
          <w:szCs w:val="18"/>
        </w:rPr>
        <w:t>http://www.trivellesinternational.com/current-projects/4</w:t>
      </w:r>
    </w:p>
  </w:footnote>
  <w:footnote w:id="9">
    <w:p w:rsidR="000F04D6" w:rsidRDefault="000F04D6" w:rsidP="007440C5">
      <w:pPr>
        <w:pStyle w:val="FootnoteText"/>
      </w:pPr>
      <w:r>
        <w:rPr>
          <w:rStyle w:val="FootnoteReference"/>
        </w:rPr>
        <w:footnoteRef/>
      </w:r>
      <w:r>
        <w:tab/>
      </w:r>
      <w:r w:rsidRPr="0008205A">
        <w:rPr>
          <w:sz w:val="18"/>
          <w:szCs w:val="18"/>
        </w:rPr>
        <w:t>Appleton Point claim there to b</w:t>
      </w:r>
      <w:r w:rsidR="0008205A" w:rsidRPr="0008205A">
        <w:rPr>
          <w:sz w:val="18"/>
          <w:szCs w:val="18"/>
        </w:rPr>
        <w:t>e 37,000 students in Bradford</w:t>
      </w:r>
    </w:p>
  </w:footnote>
  <w:footnote w:id="10">
    <w:p w:rsidR="000F04D6" w:rsidRDefault="000F04D6" w:rsidP="007440C5">
      <w:pPr>
        <w:pStyle w:val="FootnoteText"/>
      </w:pPr>
      <w:r>
        <w:rPr>
          <w:rStyle w:val="FootnoteReference"/>
        </w:rPr>
        <w:footnoteRef/>
      </w:r>
      <w:r>
        <w:t xml:space="preserve"> </w:t>
      </w:r>
      <w:r>
        <w:tab/>
      </w:r>
      <w:r w:rsidRPr="0008205A">
        <w:rPr>
          <w:sz w:val="18"/>
          <w:szCs w:val="18"/>
        </w:rPr>
        <w:t>http://summerberryresidences.com/brochure.pdf</w:t>
      </w:r>
    </w:p>
  </w:footnote>
  <w:footnote w:id="11">
    <w:p w:rsidR="000F04D6" w:rsidRDefault="000F04D6" w:rsidP="007440C5">
      <w:pPr>
        <w:pStyle w:val="FootnoteText"/>
      </w:pPr>
      <w:r>
        <w:rPr>
          <w:rStyle w:val="FootnoteReference"/>
        </w:rPr>
        <w:footnoteRef/>
      </w:r>
      <w:r>
        <w:tab/>
      </w:r>
      <w:r w:rsidRPr="0008205A">
        <w:rPr>
          <w:sz w:val="18"/>
          <w:szCs w:val="18"/>
        </w:rPr>
        <w:t>For example, http://www.trivellesinternational.com/current-projects/4</w:t>
      </w:r>
    </w:p>
  </w:footnote>
  <w:footnote w:id="12">
    <w:p w:rsidR="0008205A" w:rsidRPr="0008205A" w:rsidRDefault="0008205A">
      <w:pPr>
        <w:pStyle w:val="FootnoteText"/>
      </w:pPr>
      <w:r>
        <w:rPr>
          <w:rStyle w:val="FootnoteReference"/>
        </w:rPr>
        <w:footnoteRef/>
      </w:r>
      <w:r>
        <w:t xml:space="preserve"> </w:t>
      </w:r>
      <w:r>
        <w:tab/>
      </w:r>
      <w:r w:rsidRPr="0008205A">
        <w:rPr>
          <w:i/>
          <w:sz w:val="18"/>
          <w:szCs w:val="18"/>
        </w:rPr>
        <w:t>Assessment of housing market conditions and demands in Inner North-West Leeds</w:t>
      </w:r>
      <w:r w:rsidRPr="0008205A">
        <w:rPr>
          <w:sz w:val="18"/>
          <w:szCs w:val="18"/>
        </w:rPr>
        <w:t xml:space="preserve">, </w:t>
      </w:r>
      <w:proofErr w:type="spellStart"/>
      <w:r w:rsidRPr="0008205A">
        <w:rPr>
          <w:sz w:val="18"/>
          <w:szCs w:val="18"/>
        </w:rPr>
        <w:t>re’new</w:t>
      </w:r>
      <w:proofErr w:type="spellEnd"/>
      <w:r w:rsidRPr="0008205A">
        <w:rPr>
          <w:sz w:val="18"/>
          <w:szCs w:val="18"/>
        </w:rPr>
        <w:t xml:space="preserve"> and Unipol 2012</w:t>
      </w:r>
    </w:p>
  </w:footnote>
  <w:footnote w:id="13">
    <w:p w:rsidR="000F04D6" w:rsidRPr="007B1489" w:rsidRDefault="000F04D6" w:rsidP="007440C5">
      <w:pPr>
        <w:pStyle w:val="FootnoteText"/>
        <w:rPr>
          <w:sz w:val="18"/>
          <w:szCs w:val="18"/>
        </w:rPr>
      </w:pPr>
      <w:r>
        <w:rPr>
          <w:rStyle w:val="FootnoteReference"/>
        </w:rPr>
        <w:footnoteRef/>
      </w:r>
      <w:r>
        <w:t xml:space="preserve"> </w:t>
      </w:r>
      <w:r>
        <w:tab/>
      </w:r>
      <w:r w:rsidRPr="007B1489">
        <w:rPr>
          <w:i/>
          <w:sz w:val="18"/>
          <w:szCs w:val="18"/>
        </w:rPr>
        <w:t>The impact on demand of the government’s reforms of higher education</w:t>
      </w:r>
      <w:r w:rsidRPr="007B1489">
        <w:rPr>
          <w:sz w:val="18"/>
          <w:szCs w:val="18"/>
        </w:rPr>
        <w:t>, HEPI, November 2012</w:t>
      </w:r>
    </w:p>
  </w:footnote>
  <w:footnote w:id="14">
    <w:p w:rsidR="000F04D6" w:rsidRPr="0008205A" w:rsidRDefault="000F04D6" w:rsidP="007440C5">
      <w:pPr>
        <w:pStyle w:val="FootnoteText"/>
        <w:rPr>
          <w:sz w:val="18"/>
          <w:szCs w:val="18"/>
        </w:rPr>
      </w:pPr>
      <w:r w:rsidRPr="007B1489">
        <w:rPr>
          <w:rStyle w:val="FootnoteReference"/>
          <w:sz w:val="18"/>
          <w:szCs w:val="18"/>
        </w:rPr>
        <w:footnoteRef/>
      </w:r>
      <w:r w:rsidRPr="007B1489">
        <w:rPr>
          <w:sz w:val="18"/>
          <w:szCs w:val="18"/>
        </w:rPr>
        <w:tab/>
      </w:r>
      <w:r w:rsidRPr="0008205A">
        <w:rPr>
          <w:i/>
          <w:sz w:val="18"/>
          <w:szCs w:val="18"/>
        </w:rPr>
        <w:t>The future size and shape of higher education in the UK: threats and opportunities</w:t>
      </w:r>
      <w:r w:rsidRPr="0008205A">
        <w:rPr>
          <w:sz w:val="18"/>
          <w:szCs w:val="18"/>
        </w:rPr>
        <w:t xml:space="preserve">, 2008, Nigel Brown, Brian </w:t>
      </w:r>
      <w:proofErr w:type="spellStart"/>
      <w:r w:rsidRPr="0008205A">
        <w:rPr>
          <w:sz w:val="18"/>
          <w:szCs w:val="18"/>
        </w:rPr>
        <w:t>Ramsden</w:t>
      </w:r>
      <w:proofErr w:type="spellEnd"/>
    </w:p>
  </w:footnote>
  <w:footnote w:id="15">
    <w:p w:rsidR="000F04D6" w:rsidRPr="006C0852" w:rsidRDefault="000F04D6" w:rsidP="007440C5">
      <w:pPr>
        <w:pStyle w:val="FootnoteText"/>
        <w:ind w:left="720"/>
        <w:rPr>
          <w:sz w:val="16"/>
          <w:szCs w:val="16"/>
        </w:rPr>
      </w:pPr>
      <w:r w:rsidRPr="0008205A">
        <w:rPr>
          <w:i/>
          <w:sz w:val="18"/>
          <w:szCs w:val="18"/>
        </w:rPr>
        <w:t>A critical path: securing the future of higher education in England</w:t>
      </w:r>
      <w:r w:rsidRPr="0008205A">
        <w:rPr>
          <w:sz w:val="18"/>
          <w:szCs w:val="18"/>
        </w:rPr>
        <w:t>, IPPR Commission on the Future of Higher Education, June 2013, p115</w:t>
      </w:r>
    </w:p>
  </w:footnote>
  <w:footnote w:id="16">
    <w:p w:rsidR="000F04D6" w:rsidRPr="006C0852" w:rsidRDefault="000F04D6" w:rsidP="007440C5">
      <w:pPr>
        <w:pStyle w:val="FootnoteText"/>
        <w:rPr>
          <w:sz w:val="16"/>
          <w:szCs w:val="16"/>
        </w:rPr>
      </w:pPr>
      <w:r w:rsidRPr="006C0852">
        <w:rPr>
          <w:rStyle w:val="FootnoteReference"/>
        </w:rPr>
        <w:footnoteRef/>
      </w:r>
      <w:r w:rsidRPr="006C0852">
        <w:rPr>
          <w:sz w:val="16"/>
          <w:szCs w:val="16"/>
        </w:rPr>
        <w:t xml:space="preserve"> </w:t>
      </w:r>
      <w:r w:rsidRPr="006C0852">
        <w:rPr>
          <w:sz w:val="16"/>
          <w:szCs w:val="16"/>
        </w:rPr>
        <w:tab/>
      </w:r>
      <w:r w:rsidRPr="0008205A">
        <w:rPr>
          <w:i/>
          <w:sz w:val="18"/>
          <w:szCs w:val="18"/>
        </w:rPr>
        <w:t xml:space="preserve">Op </w:t>
      </w:r>
      <w:proofErr w:type="spellStart"/>
      <w:r w:rsidRPr="0008205A">
        <w:rPr>
          <w:i/>
          <w:sz w:val="18"/>
          <w:szCs w:val="18"/>
        </w:rPr>
        <w:t>cit</w:t>
      </w:r>
      <w:proofErr w:type="spellEnd"/>
      <w:r w:rsidRPr="0008205A">
        <w:rPr>
          <w:sz w:val="18"/>
          <w:szCs w:val="18"/>
        </w:rPr>
        <w:t>, pp125-6</w:t>
      </w:r>
    </w:p>
  </w:footnote>
  <w:footnote w:id="17">
    <w:p w:rsidR="000F04D6" w:rsidRPr="006C0852" w:rsidRDefault="000F04D6" w:rsidP="007440C5">
      <w:pPr>
        <w:pStyle w:val="FootnoteText"/>
        <w:rPr>
          <w:sz w:val="16"/>
          <w:szCs w:val="16"/>
        </w:rPr>
      </w:pPr>
      <w:r w:rsidRPr="006C0852">
        <w:rPr>
          <w:rStyle w:val="FootnoteReference"/>
        </w:rPr>
        <w:footnoteRef/>
      </w:r>
      <w:r w:rsidRPr="006C0852">
        <w:rPr>
          <w:sz w:val="16"/>
          <w:szCs w:val="16"/>
        </w:rPr>
        <w:t xml:space="preserve"> </w:t>
      </w:r>
      <w:r w:rsidRPr="006C0852">
        <w:rPr>
          <w:sz w:val="16"/>
          <w:szCs w:val="16"/>
        </w:rPr>
        <w:tab/>
      </w:r>
      <w:r w:rsidRPr="0008205A">
        <w:rPr>
          <w:i/>
          <w:sz w:val="18"/>
          <w:szCs w:val="18"/>
        </w:rPr>
        <w:t>University experiment likely to shrink higher education permanently</w:t>
      </w:r>
      <w:r w:rsidRPr="0008205A">
        <w:rPr>
          <w:sz w:val="18"/>
          <w:szCs w:val="18"/>
        </w:rPr>
        <w:t xml:space="preserve">, </w:t>
      </w:r>
      <w:r w:rsidRPr="0008205A">
        <w:rPr>
          <w:i/>
          <w:sz w:val="18"/>
          <w:szCs w:val="18"/>
        </w:rPr>
        <w:t>The Guardian</w:t>
      </w:r>
      <w:r w:rsidRPr="0008205A">
        <w:rPr>
          <w:sz w:val="18"/>
          <w:szCs w:val="18"/>
        </w:rPr>
        <w:t>, 4 February 2013</w:t>
      </w:r>
    </w:p>
  </w:footnote>
  <w:footnote w:id="18">
    <w:p w:rsidR="000F04D6" w:rsidRPr="00F53B1C" w:rsidRDefault="000F04D6" w:rsidP="007440C5">
      <w:pPr>
        <w:pStyle w:val="FootnoteText"/>
      </w:pPr>
      <w:r>
        <w:rPr>
          <w:rStyle w:val="FootnoteReference"/>
        </w:rPr>
        <w:footnoteRef/>
      </w:r>
      <w:r>
        <w:t xml:space="preserve"> </w:t>
      </w:r>
      <w:r>
        <w:tab/>
      </w:r>
      <w:r w:rsidRPr="0008205A">
        <w:rPr>
          <w:i/>
          <w:sz w:val="18"/>
          <w:szCs w:val="18"/>
        </w:rPr>
        <w:t>End of cycle report</w:t>
      </w:r>
      <w:r w:rsidRPr="0008205A">
        <w:rPr>
          <w:sz w:val="18"/>
          <w:szCs w:val="18"/>
        </w:rPr>
        <w:t>, UCAS, December 2013</w:t>
      </w:r>
    </w:p>
  </w:footnote>
  <w:footnote w:id="19">
    <w:p w:rsidR="000F04D6" w:rsidRPr="00E75DDD" w:rsidRDefault="000F04D6" w:rsidP="007440C5">
      <w:pPr>
        <w:pStyle w:val="FootnoteText"/>
        <w:ind w:left="720" w:hanging="720"/>
        <w:rPr>
          <w:sz w:val="18"/>
          <w:szCs w:val="18"/>
        </w:rPr>
      </w:pPr>
      <w:r>
        <w:rPr>
          <w:rStyle w:val="FootnoteReference"/>
        </w:rPr>
        <w:footnoteRef/>
      </w:r>
      <w:r>
        <w:t xml:space="preserve"> </w:t>
      </w:r>
      <w:r>
        <w:tab/>
      </w:r>
      <w:r w:rsidRPr="00E75DDD">
        <w:rPr>
          <w:sz w:val="18"/>
          <w:szCs w:val="18"/>
        </w:rPr>
        <w:t xml:space="preserve">See for example: </w:t>
      </w:r>
      <w:r w:rsidRPr="00E75DDD">
        <w:rPr>
          <w:i/>
          <w:sz w:val="18"/>
          <w:szCs w:val="18"/>
        </w:rPr>
        <w:t>Estimating the public cost of student loans</w:t>
      </w:r>
      <w:r w:rsidRPr="00E75DDD">
        <w:rPr>
          <w:sz w:val="18"/>
          <w:szCs w:val="18"/>
        </w:rPr>
        <w:t xml:space="preserve">, Claire Crawford, Rowena Crawford, </w:t>
      </w:r>
      <w:proofErr w:type="spellStart"/>
      <w:r w:rsidRPr="00E75DDD">
        <w:rPr>
          <w:sz w:val="18"/>
          <w:szCs w:val="18"/>
        </w:rPr>
        <w:t>Wenchao</w:t>
      </w:r>
      <w:proofErr w:type="spellEnd"/>
      <w:r w:rsidRPr="00E75DDD">
        <w:rPr>
          <w:sz w:val="18"/>
          <w:szCs w:val="18"/>
        </w:rPr>
        <w:t xml:space="preserve"> </w:t>
      </w:r>
      <w:proofErr w:type="spellStart"/>
      <w:r w:rsidRPr="00E75DDD">
        <w:rPr>
          <w:sz w:val="18"/>
          <w:szCs w:val="18"/>
        </w:rPr>
        <w:t>Jin</w:t>
      </w:r>
      <w:proofErr w:type="spellEnd"/>
      <w:r w:rsidRPr="00E75DDD">
        <w:rPr>
          <w:sz w:val="18"/>
          <w:szCs w:val="18"/>
        </w:rPr>
        <w:t xml:space="preserve"> for Institute for Fiscal Studies, April 2014</w:t>
      </w:r>
    </w:p>
  </w:footnote>
  <w:footnote w:id="20">
    <w:p w:rsidR="000F04D6" w:rsidRPr="00E75DDD" w:rsidRDefault="000F04D6" w:rsidP="007440C5">
      <w:pPr>
        <w:pStyle w:val="FootnoteText"/>
        <w:ind w:left="720" w:hanging="720"/>
        <w:rPr>
          <w:sz w:val="18"/>
          <w:szCs w:val="18"/>
        </w:rPr>
      </w:pPr>
      <w:r w:rsidRPr="00E75DDD">
        <w:rPr>
          <w:rStyle w:val="FootnoteReference"/>
          <w:sz w:val="18"/>
          <w:szCs w:val="18"/>
        </w:rPr>
        <w:footnoteRef/>
      </w:r>
      <w:r w:rsidRPr="00E75DDD">
        <w:rPr>
          <w:sz w:val="18"/>
          <w:szCs w:val="18"/>
        </w:rPr>
        <w:t xml:space="preserve"> </w:t>
      </w:r>
      <w:r w:rsidRPr="00E75DDD">
        <w:rPr>
          <w:sz w:val="18"/>
          <w:szCs w:val="18"/>
        </w:rPr>
        <w:tab/>
        <w:t>In the medium to long term squaring the circle on student loan debt may be resolved by getting individual institutions to hold the loans belonging to their own graduates. Although publicly aired by the BIS in July 2014, this is reportedly not likely to form part of any manifesto or to be put forward as prospective policy anytime soon, because existing systems capabilities would not adequately support such a set-up.</w:t>
      </w:r>
    </w:p>
  </w:footnote>
  <w:footnote w:id="21">
    <w:p w:rsidR="000F04D6" w:rsidRPr="007B1489" w:rsidRDefault="000F04D6" w:rsidP="007440C5">
      <w:pPr>
        <w:pStyle w:val="FootnoteText"/>
        <w:ind w:left="720"/>
        <w:rPr>
          <w:sz w:val="18"/>
          <w:szCs w:val="18"/>
        </w:rPr>
      </w:pPr>
      <w:r w:rsidRPr="007B1489">
        <w:rPr>
          <w:i/>
          <w:sz w:val="18"/>
          <w:szCs w:val="18"/>
        </w:rPr>
        <w:t xml:space="preserve">Revealed: winners and losers in numbers </w:t>
      </w:r>
      <w:r w:rsidRPr="007B1489">
        <w:rPr>
          <w:sz w:val="18"/>
          <w:szCs w:val="18"/>
        </w:rPr>
        <w:t>game, Times Higher Education, 23 January 2014 (based on UCAS figures)</w:t>
      </w:r>
    </w:p>
  </w:footnote>
  <w:footnote w:id="22">
    <w:p w:rsidR="000F04D6" w:rsidRPr="006A42ED" w:rsidRDefault="000F04D6" w:rsidP="007440C5">
      <w:pPr>
        <w:pStyle w:val="FootnoteText"/>
      </w:pPr>
      <w:r>
        <w:rPr>
          <w:rStyle w:val="FootnoteReference"/>
        </w:rPr>
        <w:footnoteRef/>
      </w:r>
      <w:r>
        <w:t xml:space="preserve"> </w:t>
      </w:r>
      <w:r>
        <w:tab/>
      </w:r>
      <w:r w:rsidRPr="00A85972">
        <w:rPr>
          <w:i/>
          <w:sz w:val="18"/>
          <w:szCs w:val="18"/>
        </w:rPr>
        <w:t>Bradford College Draft Strategy 2015 – 20</w:t>
      </w:r>
      <w:r w:rsidRPr="00A85972">
        <w:rPr>
          <w:sz w:val="18"/>
          <w:szCs w:val="18"/>
        </w:rPr>
        <w:t>, June 2014</w:t>
      </w:r>
    </w:p>
  </w:footnote>
  <w:footnote w:id="23">
    <w:p w:rsidR="000F04D6" w:rsidRPr="004579C8" w:rsidRDefault="000F04D6" w:rsidP="007440C5">
      <w:pPr>
        <w:pStyle w:val="FootnoteText"/>
        <w:rPr>
          <w:sz w:val="18"/>
          <w:szCs w:val="18"/>
        </w:rPr>
      </w:pPr>
      <w:r>
        <w:rPr>
          <w:rStyle w:val="FootnoteReference"/>
        </w:rPr>
        <w:footnoteRef/>
      </w:r>
      <w:r>
        <w:t xml:space="preserve"> </w:t>
      </w:r>
      <w:r>
        <w:tab/>
      </w:r>
      <w:r>
        <w:rPr>
          <w:i/>
          <w:sz w:val="18"/>
          <w:szCs w:val="18"/>
        </w:rPr>
        <w:t>Housing preferences for students at Nottingham’s universities</w:t>
      </w:r>
      <w:r>
        <w:rPr>
          <w:sz w:val="18"/>
          <w:szCs w:val="18"/>
        </w:rPr>
        <w:t>, 2008, Survey Unit, University of Nottingham</w:t>
      </w:r>
    </w:p>
  </w:footnote>
  <w:footnote w:id="24">
    <w:p w:rsidR="000F04D6" w:rsidRPr="00AF22A6" w:rsidRDefault="000F04D6">
      <w:pPr>
        <w:pStyle w:val="FootnoteText"/>
      </w:pPr>
      <w:r>
        <w:rPr>
          <w:rStyle w:val="FootnoteReference"/>
        </w:rPr>
        <w:footnoteRef/>
      </w:r>
      <w:r>
        <w:t xml:space="preserve"> </w:t>
      </w:r>
      <w:r>
        <w:tab/>
      </w:r>
      <w:r w:rsidRPr="0008205A">
        <w:rPr>
          <w:i/>
          <w:sz w:val="18"/>
          <w:szCs w:val="18"/>
        </w:rPr>
        <w:t>Assessment of student residence and housing market conditions in Nottingham</w:t>
      </w:r>
      <w:r w:rsidRPr="0008205A">
        <w:rPr>
          <w:sz w:val="18"/>
          <w:szCs w:val="18"/>
        </w:rPr>
        <w:t xml:space="preserve">, </w:t>
      </w:r>
      <w:proofErr w:type="spellStart"/>
      <w:r w:rsidRPr="0008205A">
        <w:rPr>
          <w:sz w:val="18"/>
          <w:szCs w:val="18"/>
        </w:rPr>
        <w:t>re’new</w:t>
      </w:r>
      <w:proofErr w:type="spellEnd"/>
      <w:r w:rsidRPr="0008205A">
        <w:rPr>
          <w:sz w:val="18"/>
          <w:szCs w:val="18"/>
        </w:rPr>
        <w:t xml:space="preserve"> and Unipol, 2013</w:t>
      </w:r>
    </w:p>
  </w:footnote>
  <w:footnote w:id="25">
    <w:p w:rsidR="000F04D6" w:rsidRPr="00AF22A6" w:rsidRDefault="000F04D6">
      <w:pPr>
        <w:pStyle w:val="FootnoteText"/>
      </w:pPr>
      <w:r>
        <w:rPr>
          <w:rStyle w:val="FootnoteReference"/>
        </w:rPr>
        <w:footnoteRef/>
      </w:r>
      <w:r>
        <w:t xml:space="preserve"> </w:t>
      </w:r>
      <w:r>
        <w:tab/>
      </w:r>
      <w:r w:rsidRPr="0008205A">
        <w:rPr>
          <w:i/>
          <w:sz w:val="18"/>
          <w:szCs w:val="18"/>
        </w:rPr>
        <w:t>Ibid</w:t>
      </w:r>
    </w:p>
  </w:footnote>
  <w:footnote w:id="26">
    <w:p w:rsidR="000F04D6" w:rsidRPr="00AF22A6" w:rsidRDefault="000F04D6">
      <w:pPr>
        <w:pStyle w:val="FootnoteText"/>
      </w:pPr>
      <w:r>
        <w:rPr>
          <w:rStyle w:val="FootnoteReference"/>
        </w:rPr>
        <w:footnoteRef/>
      </w:r>
      <w:r>
        <w:t xml:space="preserve"> </w:t>
      </w:r>
      <w:r>
        <w:tab/>
      </w:r>
      <w:r w:rsidRPr="0008205A">
        <w:rPr>
          <w:i/>
          <w:sz w:val="18"/>
          <w:szCs w:val="18"/>
        </w:rPr>
        <w:t>Assessment of housing market conditions and demands in Inner North-West Leeds</w:t>
      </w:r>
      <w:r w:rsidRPr="0008205A">
        <w:rPr>
          <w:sz w:val="18"/>
          <w:szCs w:val="18"/>
        </w:rPr>
        <w:t xml:space="preserve">, </w:t>
      </w:r>
      <w:proofErr w:type="spellStart"/>
      <w:r w:rsidRPr="0008205A">
        <w:rPr>
          <w:sz w:val="18"/>
          <w:szCs w:val="18"/>
        </w:rPr>
        <w:t>re’new</w:t>
      </w:r>
      <w:proofErr w:type="spellEnd"/>
      <w:r w:rsidRPr="0008205A">
        <w:rPr>
          <w:sz w:val="18"/>
          <w:szCs w:val="18"/>
        </w:rPr>
        <w:t xml:space="preserve"> and Unipol, 2012</w:t>
      </w:r>
    </w:p>
  </w:footnote>
  <w:footnote w:id="27">
    <w:p w:rsidR="000F04D6" w:rsidRDefault="000F04D6" w:rsidP="007440C5">
      <w:pPr>
        <w:pStyle w:val="FootnoteText"/>
      </w:pPr>
      <w:r>
        <w:rPr>
          <w:rStyle w:val="FootnoteReference"/>
        </w:rPr>
        <w:footnoteRef/>
      </w:r>
      <w:r>
        <w:t xml:space="preserve"> </w:t>
      </w:r>
      <w:r>
        <w:tab/>
      </w:r>
      <w:r w:rsidRPr="00B8409D">
        <w:rPr>
          <w:rFonts w:cs="Courier New"/>
          <w:color w:val="000000"/>
          <w:shd w:val="clear" w:color="auto" w:fill="FFFFFF"/>
        </w:rPr>
        <w:t xml:space="preserve">Arkwright Hall was sold by the Opal administrators to </w:t>
      </w:r>
      <w:proofErr w:type="spellStart"/>
      <w:r w:rsidRPr="00B8409D">
        <w:rPr>
          <w:rFonts w:cs="Courier New"/>
          <w:color w:val="000000"/>
          <w:shd w:val="clear" w:color="auto" w:fill="FFFFFF"/>
        </w:rPr>
        <w:t>Graystar</w:t>
      </w:r>
      <w:proofErr w:type="spellEnd"/>
      <w:r w:rsidRPr="00B8409D">
        <w:rPr>
          <w:rFonts w:cs="Courier New"/>
          <w:color w:val="000000"/>
          <w:shd w:val="clear" w:color="auto" w:fill="FFFFFF"/>
        </w:rPr>
        <w:t xml:space="preserve"> and Forster Hall was bought by UNITE from the </w:t>
      </w:r>
      <w:r>
        <w:rPr>
          <w:rFonts w:cs="Courier New"/>
          <w:color w:val="000000"/>
          <w:shd w:val="clear" w:color="auto" w:fill="FFFFFF"/>
        </w:rPr>
        <w:tab/>
      </w:r>
      <w:proofErr w:type="spellStart"/>
      <w:r w:rsidRPr="00B8409D">
        <w:rPr>
          <w:rFonts w:cs="Courier New"/>
          <w:color w:val="000000"/>
          <w:shd w:val="clear" w:color="auto" w:fill="FFFFFF"/>
        </w:rPr>
        <w:t>Cordea</w:t>
      </w:r>
      <w:proofErr w:type="spellEnd"/>
      <w:r w:rsidRPr="00B8409D">
        <w:rPr>
          <w:rFonts w:cs="Courier New"/>
          <w:color w:val="000000"/>
          <w:shd w:val="clear" w:color="auto" w:fill="FFFFFF"/>
        </w:rPr>
        <w:t xml:space="preserve"> Savills Fund.</w:t>
      </w:r>
    </w:p>
  </w:footnote>
  <w:footnote w:id="28">
    <w:p w:rsidR="000F04D6" w:rsidRDefault="000F04D6">
      <w:pPr>
        <w:pStyle w:val="FootnoteText"/>
      </w:pPr>
      <w:r>
        <w:rPr>
          <w:rStyle w:val="FootnoteReference"/>
        </w:rPr>
        <w:footnoteRef/>
      </w:r>
      <w:r w:rsidR="009A365C">
        <w:tab/>
      </w:r>
      <w:r w:rsidR="009A365C" w:rsidRPr="009A365C">
        <w:rPr>
          <w:i/>
          <w:sz w:val="18"/>
          <w:szCs w:val="18"/>
        </w:rPr>
        <w:t>Bradford owners’ briefing</w:t>
      </w:r>
      <w:r w:rsidR="009A365C" w:rsidRPr="009A365C">
        <w:rPr>
          <w:sz w:val="18"/>
          <w:szCs w:val="18"/>
        </w:rPr>
        <w:t xml:space="preserve">, Unipol, </w:t>
      </w:r>
      <w:r w:rsidR="009A365C">
        <w:rPr>
          <w:sz w:val="18"/>
          <w:szCs w:val="18"/>
        </w:rPr>
        <w:t xml:space="preserve">22 </w:t>
      </w:r>
      <w:r w:rsidR="009A365C" w:rsidRPr="009A365C">
        <w:rPr>
          <w:sz w:val="18"/>
          <w:szCs w:val="18"/>
        </w:rPr>
        <w:t>January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D6" w:rsidRDefault="000F04D6">
    <w:pPr>
      <w:pStyle w:val="Header"/>
    </w:pPr>
    <w:r w:rsidRPr="00D82358">
      <w:rPr>
        <w:b/>
        <w:noProof/>
        <w:sz w:val="28"/>
        <w:lang w:eastAsia="en-GB"/>
      </w:rPr>
      <w:drawing>
        <wp:anchor distT="0" distB="0" distL="114300" distR="114300" simplePos="0" relativeHeight="251659264" behindDoc="0" locked="0" layoutInCell="1" allowOverlap="1" wp14:anchorId="54621460" wp14:editId="51B479F8">
          <wp:simplePos x="0" y="0"/>
          <wp:positionH relativeFrom="column">
            <wp:posOffset>5212080</wp:posOffset>
          </wp:positionH>
          <wp:positionV relativeFrom="paragraph">
            <wp:posOffset>-292735</wp:posOffset>
          </wp:positionV>
          <wp:extent cx="1257300" cy="3898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898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B8226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9B0178"/>
    <w:multiLevelType w:val="hybridMultilevel"/>
    <w:tmpl w:val="06089A7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0943E26"/>
    <w:multiLevelType w:val="hybridMultilevel"/>
    <w:tmpl w:val="E1A4F42E"/>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14D555F6"/>
    <w:multiLevelType w:val="hybridMultilevel"/>
    <w:tmpl w:val="EE2A7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5F0587"/>
    <w:multiLevelType w:val="hybridMultilevel"/>
    <w:tmpl w:val="FA88EAE8"/>
    <w:lvl w:ilvl="0" w:tplc="316413FC">
      <w:start w:val="1"/>
      <w:numFmt w:val="decimal"/>
      <w:lvlText w:val="%1."/>
      <w:lvlJc w:val="left"/>
      <w:pPr>
        <w:ind w:left="1069" w:hanging="360"/>
      </w:pPr>
      <w:rPr>
        <w:rFonts w:cs="Times New Roman"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1601592C"/>
    <w:multiLevelType w:val="hybridMultilevel"/>
    <w:tmpl w:val="819A8E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63768D4"/>
    <w:multiLevelType w:val="multilevel"/>
    <w:tmpl w:val="31F01B8A"/>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0D6720"/>
    <w:multiLevelType w:val="hybridMultilevel"/>
    <w:tmpl w:val="EA12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6D7106"/>
    <w:multiLevelType w:val="multilevel"/>
    <w:tmpl w:val="A0649D32"/>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nsid w:val="29A61217"/>
    <w:multiLevelType w:val="hybridMultilevel"/>
    <w:tmpl w:val="7592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B9303A"/>
    <w:multiLevelType w:val="multilevel"/>
    <w:tmpl w:val="DBECA4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30A90E5E"/>
    <w:multiLevelType w:val="multilevel"/>
    <w:tmpl w:val="DAA47946"/>
    <w:lvl w:ilvl="0">
      <w:start w:val="1"/>
      <w:numFmt w:val="bullet"/>
      <w:lvlText w:val=""/>
      <w:lvlJc w:val="left"/>
      <w:pPr>
        <w:ind w:left="1080" w:hanging="360"/>
      </w:pPr>
      <w:rPr>
        <w:rFonts w:ascii="Symbol" w:hAnsi="Symbol" w:hint="default"/>
      </w:rPr>
    </w:lvl>
    <w:lvl w:ilvl="1">
      <w:start w:val="4"/>
      <w:numFmt w:val="decimal"/>
      <w:lvlText w:val="%1.%2"/>
      <w:lvlJc w:val="left"/>
      <w:pPr>
        <w:ind w:left="108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2">
    <w:nsid w:val="31AE1748"/>
    <w:multiLevelType w:val="hybridMultilevel"/>
    <w:tmpl w:val="8E90A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6006BC3"/>
    <w:multiLevelType w:val="hybridMultilevel"/>
    <w:tmpl w:val="D0BC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6F30FD"/>
    <w:multiLevelType w:val="hybridMultilevel"/>
    <w:tmpl w:val="2A02D6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9EA7CA4"/>
    <w:multiLevelType w:val="hybridMultilevel"/>
    <w:tmpl w:val="8B560796"/>
    <w:lvl w:ilvl="0" w:tplc="FE48B1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A120F27"/>
    <w:multiLevelType w:val="hybridMultilevel"/>
    <w:tmpl w:val="E87EDD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B4B67FA"/>
    <w:multiLevelType w:val="hybridMultilevel"/>
    <w:tmpl w:val="3E082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05B2D10"/>
    <w:multiLevelType w:val="multilevel"/>
    <w:tmpl w:val="95543560"/>
    <w:lvl w:ilvl="0">
      <w:start w:val="5"/>
      <w:numFmt w:val="decimal"/>
      <w:lvlText w:val="%1"/>
      <w:lvlJc w:val="left"/>
      <w:pPr>
        <w:ind w:left="435" w:hanging="435"/>
      </w:pPr>
      <w:rPr>
        <w:rFonts w:cs="Courier New" w:hint="default"/>
        <w:color w:val="000000"/>
      </w:rPr>
    </w:lvl>
    <w:lvl w:ilvl="1">
      <w:start w:val="1"/>
      <w:numFmt w:val="decimal"/>
      <w:lvlText w:val="%1.%2"/>
      <w:lvlJc w:val="left"/>
      <w:pPr>
        <w:ind w:left="435" w:hanging="435"/>
      </w:pPr>
      <w:rPr>
        <w:rFonts w:cs="Courier New" w:hint="default"/>
        <w:color w:val="000000"/>
      </w:rPr>
    </w:lvl>
    <w:lvl w:ilvl="2">
      <w:start w:val="2"/>
      <w:numFmt w:val="decimal"/>
      <w:lvlText w:val="%1.%2.%3"/>
      <w:lvlJc w:val="left"/>
      <w:pPr>
        <w:ind w:left="720" w:hanging="720"/>
      </w:pPr>
      <w:rPr>
        <w:rFonts w:cs="Courier New" w:hint="default"/>
        <w:b w:val="0"/>
        <w:color w:val="000000"/>
      </w:rPr>
    </w:lvl>
    <w:lvl w:ilvl="3">
      <w:start w:val="1"/>
      <w:numFmt w:val="bullet"/>
      <w:lvlText w:val=""/>
      <w:lvlJc w:val="left"/>
      <w:pPr>
        <w:ind w:left="720" w:hanging="720"/>
      </w:pPr>
      <w:rPr>
        <w:rFonts w:ascii="Symbol" w:hAnsi="Symbol" w:hint="default"/>
        <w:color w:val="000000"/>
      </w:rPr>
    </w:lvl>
    <w:lvl w:ilvl="4">
      <w:start w:val="1"/>
      <w:numFmt w:val="decimal"/>
      <w:lvlText w:val="%1.%2.%3.%4.%5"/>
      <w:lvlJc w:val="left"/>
      <w:pPr>
        <w:ind w:left="1080" w:hanging="1080"/>
      </w:pPr>
      <w:rPr>
        <w:rFonts w:cs="Courier New" w:hint="default"/>
        <w:color w:val="000000"/>
      </w:rPr>
    </w:lvl>
    <w:lvl w:ilvl="5">
      <w:start w:val="1"/>
      <w:numFmt w:val="decimal"/>
      <w:lvlText w:val="%1.%2.%3.%4.%5.%6"/>
      <w:lvlJc w:val="left"/>
      <w:pPr>
        <w:ind w:left="1080" w:hanging="1080"/>
      </w:pPr>
      <w:rPr>
        <w:rFonts w:cs="Courier New" w:hint="default"/>
        <w:color w:val="000000"/>
      </w:rPr>
    </w:lvl>
    <w:lvl w:ilvl="6">
      <w:start w:val="1"/>
      <w:numFmt w:val="decimal"/>
      <w:lvlText w:val="%1.%2.%3.%4.%5.%6.%7"/>
      <w:lvlJc w:val="left"/>
      <w:pPr>
        <w:ind w:left="1440" w:hanging="1440"/>
      </w:pPr>
      <w:rPr>
        <w:rFonts w:cs="Courier New" w:hint="default"/>
        <w:color w:val="000000"/>
      </w:rPr>
    </w:lvl>
    <w:lvl w:ilvl="7">
      <w:start w:val="1"/>
      <w:numFmt w:val="decimal"/>
      <w:lvlText w:val="%1.%2.%3.%4.%5.%6.%7.%8"/>
      <w:lvlJc w:val="left"/>
      <w:pPr>
        <w:ind w:left="1440" w:hanging="1440"/>
      </w:pPr>
      <w:rPr>
        <w:rFonts w:cs="Courier New" w:hint="default"/>
        <w:color w:val="000000"/>
      </w:rPr>
    </w:lvl>
    <w:lvl w:ilvl="8">
      <w:start w:val="1"/>
      <w:numFmt w:val="decimal"/>
      <w:lvlText w:val="%1.%2.%3.%4.%5.%6.%7.%8.%9"/>
      <w:lvlJc w:val="left"/>
      <w:pPr>
        <w:ind w:left="1440" w:hanging="1440"/>
      </w:pPr>
      <w:rPr>
        <w:rFonts w:cs="Courier New" w:hint="default"/>
        <w:color w:val="000000"/>
      </w:rPr>
    </w:lvl>
  </w:abstractNum>
  <w:abstractNum w:abstractNumId="19">
    <w:nsid w:val="467E0FB6"/>
    <w:multiLevelType w:val="hybridMultilevel"/>
    <w:tmpl w:val="4968B31C"/>
    <w:lvl w:ilvl="0" w:tplc="F0708876">
      <w:start w:val="1"/>
      <w:numFmt w:val="decimal"/>
      <w:lvlText w:val="%1."/>
      <w:lvlJc w:val="left"/>
      <w:pPr>
        <w:tabs>
          <w:tab w:val="num" w:pos="720"/>
        </w:tabs>
        <w:ind w:left="720" w:hanging="72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rPr>
        <w:rFonts w:hint="default"/>
      </w:rPr>
    </w:lvl>
    <w:lvl w:ilvl="4" w:tplc="9F204056">
      <w:start w:val="1"/>
      <w:numFmt w:val="lowerRoman"/>
      <w:lvlText w:val="%5)"/>
      <w:lvlJc w:val="left"/>
      <w:pPr>
        <w:ind w:left="3600" w:hanging="720"/>
      </w:pPr>
      <w:rPr>
        <w:rFonts w:hint="default"/>
      </w:rPr>
    </w:lvl>
    <w:lvl w:ilvl="5" w:tplc="CFBAB274">
      <w:start w:val="1"/>
      <w:numFmt w:val="lowerLetter"/>
      <w:lvlText w:val="%6)"/>
      <w:lvlJc w:val="left"/>
      <w:pPr>
        <w:ind w:left="4140" w:hanging="360"/>
      </w:pPr>
      <w:rPr>
        <w:rFonts w:hint="default"/>
      </w:r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4736357A"/>
    <w:multiLevelType w:val="hybridMultilevel"/>
    <w:tmpl w:val="6DCCC97A"/>
    <w:lvl w:ilvl="0" w:tplc="08090017">
      <w:start w:val="1"/>
      <w:numFmt w:val="lowerLetter"/>
      <w:lvlText w:val="%1)"/>
      <w:lvlJc w:val="left"/>
      <w:pPr>
        <w:ind w:left="5061" w:hanging="360"/>
      </w:pPr>
      <w:rPr>
        <w:rFonts w:hint="default"/>
      </w:rPr>
    </w:lvl>
    <w:lvl w:ilvl="1" w:tplc="08090019">
      <w:start w:val="1"/>
      <w:numFmt w:val="lowerLetter"/>
      <w:lvlText w:val="%2."/>
      <w:lvlJc w:val="left"/>
      <w:pPr>
        <w:ind w:left="5781" w:hanging="360"/>
      </w:pPr>
    </w:lvl>
    <w:lvl w:ilvl="2" w:tplc="0809001B" w:tentative="1">
      <w:start w:val="1"/>
      <w:numFmt w:val="lowerRoman"/>
      <w:lvlText w:val="%3."/>
      <w:lvlJc w:val="right"/>
      <w:pPr>
        <w:ind w:left="6501" w:hanging="180"/>
      </w:pPr>
    </w:lvl>
    <w:lvl w:ilvl="3" w:tplc="0809000F" w:tentative="1">
      <w:start w:val="1"/>
      <w:numFmt w:val="decimal"/>
      <w:lvlText w:val="%4."/>
      <w:lvlJc w:val="left"/>
      <w:pPr>
        <w:ind w:left="7221" w:hanging="360"/>
      </w:pPr>
    </w:lvl>
    <w:lvl w:ilvl="4" w:tplc="08090019" w:tentative="1">
      <w:start w:val="1"/>
      <w:numFmt w:val="lowerLetter"/>
      <w:lvlText w:val="%5."/>
      <w:lvlJc w:val="left"/>
      <w:pPr>
        <w:ind w:left="7941" w:hanging="360"/>
      </w:pPr>
    </w:lvl>
    <w:lvl w:ilvl="5" w:tplc="0809001B" w:tentative="1">
      <w:start w:val="1"/>
      <w:numFmt w:val="lowerRoman"/>
      <w:lvlText w:val="%6."/>
      <w:lvlJc w:val="right"/>
      <w:pPr>
        <w:ind w:left="8661" w:hanging="180"/>
      </w:pPr>
    </w:lvl>
    <w:lvl w:ilvl="6" w:tplc="0809000F" w:tentative="1">
      <w:start w:val="1"/>
      <w:numFmt w:val="decimal"/>
      <w:lvlText w:val="%7."/>
      <w:lvlJc w:val="left"/>
      <w:pPr>
        <w:ind w:left="9381" w:hanging="360"/>
      </w:pPr>
    </w:lvl>
    <w:lvl w:ilvl="7" w:tplc="08090019" w:tentative="1">
      <w:start w:val="1"/>
      <w:numFmt w:val="lowerLetter"/>
      <w:lvlText w:val="%8."/>
      <w:lvlJc w:val="left"/>
      <w:pPr>
        <w:ind w:left="10101" w:hanging="360"/>
      </w:pPr>
    </w:lvl>
    <w:lvl w:ilvl="8" w:tplc="0809001B" w:tentative="1">
      <w:start w:val="1"/>
      <w:numFmt w:val="lowerRoman"/>
      <w:lvlText w:val="%9."/>
      <w:lvlJc w:val="right"/>
      <w:pPr>
        <w:ind w:left="10821" w:hanging="180"/>
      </w:pPr>
    </w:lvl>
  </w:abstractNum>
  <w:abstractNum w:abstractNumId="21">
    <w:nsid w:val="47FC4077"/>
    <w:multiLevelType w:val="multilevel"/>
    <w:tmpl w:val="9EF22B6C"/>
    <w:lvl w:ilvl="0">
      <w:start w:val="5"/>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033749A"/>
    <w:multiLevelType w:val="hybridMultilevel"/>
    <w:tmpl w:val="F1A0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94061B"/>
    <w:multiLevelType w:val="multilevel"/>
    <w:tmpl w:val="D36A3B2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nsid w:val="588C33D1"/>
    <w:multiLevelType w:val="hybridMultilevel"/>
    <w:tmpl w:val="13A04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EEE1935"/>
    <w:multiLevelType w:val="hybridMultilevel"/>
    <w:tmpl w:val="82D259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291143E"/>
    <w:multiLevelType w:val="hybridMultilevel"/>
    <w:tmpl w:val="A13C2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42D5941"/>
    <w:multiLevelType w:val="hybridMultilevel"/>
    <w:tmpl w:val="BAFA9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5247108"/>
    <w:multiLevelType w:val="hybridMultilevel"/>
    <w:tmpl w:val="EB721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355DC9"/>
    <w:multiLevelType w:val="hybridMultilevel"/>
    <w:tmpl w:val="53F8A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6470904"/>
    <w:multiLevelType w:val="hybridMultilevel"/>
    <w:tmpl w:val="44F2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E231D7"/>
    <w:multiLevelType w:val="hybridMultilevel"/>
    <w:tmpl w:val="929C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DF10B1"/>
    <w:multiLevelType w:val="hybridMultilevel"/>
    <w:tmpl w:val="FABCAC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F227B0"/>
    <w:multiLevelType w:val="hybridMultilevel"/>
    <w:tmpl w:val="72628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AE7750C"/>
    <w:multiLevelType w:val="hybridMultilevel"/>
    <w:tmpl w:val="55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CB0849"/>
    <w:multiLevelType w:val="hybridMultilevel"/>
    <w:tmpl w:val="311C75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D85AAB"/>
    <w:multiLevelType w:val="hybridMultilevel"/>
    <w:tmpl w:val="52F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F24AAB"/>
    <w:multiLevelType w:val="hybridMultilevel"/>
    <w:tmpl w:val="804C4E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55C25C0"/>
    <w:multiLevelType w:val="hybridMultilevel"/>
    <w:tmpl w:val="C6A64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6DD5CE3"/>
    <w:multiLevelType w:val="multilevel"/>
    <w:tmpl w:val="5D98172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74A1AD5"/>
    <w:multiLevelType w:val="hybridMultilevel"/>
    <w:tmpl w:val="273C9DC6"/>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nsid w:val="79C53D30"/>
    <w:multiLevelType w:val="hybridMultilevel"/>
    <w:tmpl w:val="2E92F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E4A3299"/>
    <w:multiLevelType w:val="hybridMultilevel"/>
    <w:tmpl w:val="839C9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25"/>
  </w:num>
  <w:num w:numId="4">
    <w:abstractNumId w:val="37"/>
  </w:num>
  <w:num w:numId="5">
    <w:abstractNumId w:val="1"/>
  </w:num>
  <w:num w:numId="6">
    <w:abstractNumId w:val="27"/>
  </w:num>
  <w:num w:numId="7">
    <w:abstractNumId w:val="19"/>
  </w:num>
  <w:num w:numId="8">
    <w:abstractNumId w:val="42"/>
  </w:num>
  <w:num w:numId="9">
    <w:abstractNumId w:val="17"/>
  </w:num>
  <w:num w:numId="10">
    <w:abstractNumId w:val="14"/>
  </w:num>
  <w:num w:numId="11">
    <w:abstractNumId w:val="23"/>
  </w:num>
  <w:num w:numId="12">
    <w:abstractNumId w:val="29"/>
  </w:num>
  <w:num w:numId="13">
    <w:abstractNumId w:val="5"/>
  </w:num>
  <w:num w:numId="14">
    <w:abstractNumId w:val="26"/>
  </w:num>
  <w:num w:numId="15">
    <w:abstractNumId w:val="9"/>
  </w:num>
  <w:num w:numId="16">
    <w:abstractNumId w:val="38"/>
  </w:num>
  <w:num w:numId="17">
    <w:abstractNumId w:val="24"/>
  </w:num>
  <w:num w:numId="18">
    <w:abstractNumId w:val="7"/>
  </w:num>
  <w:num w:numId="19">
    <w:abstractNumId w:val="13"/>
  </w:num>
  <w:num w:numId="20">
    <w:abstractNumId w:val="15"/>
  </w:num>
  <w:num w:numId="21">
    <w:abstractNumId w:val="8"/>
  </w:num>
  <w:num w:numId="22">
    <w:abstractNumId w:val="18"/>
  </w:num>
  <w:num w:numId="23">
    <w:abstractNumId w:val="39"/>
  </w:num>
  <w:num w:numId="24">
    <w:abstractNumId w:val="33"/>
  </w:num>
  <w:num w:numId="25">
    <w:abstractNumId w:val="41"/>
  </w:num>
  <w:num w:numId="26">
    <w:abstractNumId w:val="11"/>
  </w:num>
  <w:num w:numId="27">
    <w:abstractNumId w:val="4"/>
  </w:num>
  <w:num w:numId="28">
    <w:abstractNumId w:val="20"/>
  </w:num>
  <w:num w:numId="29">
    <w:abstractNumId w:val="21"/>
  </w:num>
  <w:num w:numId="30">
    <w:abstractNumId w:val="30"/>
  </w:num>
  <w:num w:numId="31">
    <w:abstractNumId w:val="6"/>
  </w:num>
  <w:num w:numId="32">
    <w:abstractNumId w:val="12"/>
  </w:num>
  <w:num w:numId="33">
    <w:abstractNumId w:val="35"/>
  </w:num>
  <w:num w:numId="34">
    <w:abstractNumId w:val="32"/>
  </w:num>
  <w:num w:numId="35">
    <w:abstractNumId w:val="40"/>
  </w:num>
  <w:num w:numId="36">
    <w:abstractNumId w:val="10"/>
  </w:num>
  <w:num w:numId="37">
    <w:abstractNumId w:val="2"/>
  </w:num>
  <w:num w:numId="38">
    <w:abstractNumId w:val="28"/>
  </w:num>
  <w:num w:numId="39">
    <w:abstractNumId w:val="31"/>
  </w:num>
  <w:num w:numId="40">
    <w:abstractNumId w:val="22"/>
  </w:num>
  <w:num w:numId="41">
    <w:abstractNumId w:val="34"/>
  </w:num>
  <w:num w:numId="42">
    <w:abstractNumId w:val="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0C5"/>
    <w:rsid w:val="00022C91"/>
    <w:rsid w:val="00024F29"/>
    <w:rsid w:val="0004350F"/>
    <w:rsid w:val="000551F8"/>
    <w:rsid w:val="0008205A"/>
    <w:rsid w:val="000B75A0"/>
    <w:rsid w:val="000B7D44"/>
    <w:rsid w:val="000E08F9"/>
    <w:rsid w:val="000F04D6"/>
    <w:rsid w:val="00100D4E"/>
    <w:rsid w:val="0010667E"/>
    <w:rsid w:val="00123458"/>
    <w:rsid w:val="00153C7E"/>
    <w:rsid w:val="001719BB"/>
    <w:rsid w:val="001B4E51"/>
    <w:rsid w:val="001C1F5C"/>
    <w:rsid w:val="001D1DE3"/>
    <w:rsid w:val="002117CD"/>
    <w:rsid w:val="00230A1C"/>
    <w:rsid w:val="00246F32"/>
    <w:rsid w:val="00292002"/>
    <w:rsid w:val="00295573"/>
    <w:rsid w:val="002A2F76"/>
    <w:rsid w:val="002C7FD2"/>
    <w:rsid w:val="002E6727"/>
    <w:rsid w:val="003122D6"/>
    <w:rsid w:val="00322F7B"/>
    <w:rsid w:val="0037116B"/>
    <w:rsid w:val="003E34C5"/>
    <w:rsid w:val="004B3890"/>
    <w:rsid w:val="004B559F"/>
    <w:rsid w:val="004C7E44"/>
    <w:rsid w:val="004D6741"/>
    <w:rsid w:val="004F16CC"/>
    <w:rsid w:val="004F4801"/>
    <w:rsid w:val="0052430D"/>
    <w:rsid w:val="00565D91"/>
    <w:rsid w:val="00570ADD"/>
    <w:rsid w:val="005848FE"/>
    <w:rsid w:val="0059413B"/>
    <w:rsid w:val="005A1EC2"/>
    <w:rsid w:val="005A3F93"/>
    <w:rsid w:val="005B4FBA"/>
    <w:rsid w:val="005B6FFA"/>
    <w:rsid w:val="005D2F4D"/>
    <w:rsid w:val="005E3071"/>
    <w:rsid w:val="005F393D"/>
    <w:rsid w:val="006370B2"/>
    <w:rsid w:val="00642792"/>
    <w:rsid w:val="00655CCC"/>
    <w:rsid w:val="006D6663"/>
    <w:rsid w:val="0070417A"/>
    <w:rsid w:val="0070666C"/>
    <w:rsid w:val="007440C5"/>
    <w:rsid w:val="00752F98"/>
    <w:rsid w:val="007600ED"/>
    <w:rsid w:val="00760D1B"/>
    <w:rsid w:val="007835BB"/>
    <w:rsid w:val="00796C9C"/>
    <w:rsid w:val="007A3695"/>
    <w:rsid w:val="007C456E"/>
    <w:rsid w:val="007D2C38"/>
    <w:rsid w:val="007E1EE0"/>
    <w:rsid w:val="007E6B98"/>
    <w:rsid w:val="00822170"/>
    <w:rsid w:val="00823130"/>
    <w:rsid w:val="0083731B"/>
    <w:rsid w:val="00865235"/>
    <w:rsid w:val="008808F0"/>
    <w:rsid w:val="00886206"/>
    <w:rsid w:val="0089741A"/>
    <w:rsid w:val="008B0CA5"/>
    <w:rsid w:val="008B7CEB"/>
    <w:rsid w:val="00901F2C"/>
    <w:rsid w:val="0091551D"/>
    <w:rsid w:val="00965ACF"/>
    <w:rsid w:val="009A365C"/>
    <w:rsid w:val="009B26D7"/>
    <w:rsid w:val="00A75D79"/>
    <w:rsid w:val="00AF22A6"/>
    <w:rsid w:val="00B26FEF"/>
    <w:rsid w:val="00B36D95"/>
    <w:rsid w:val="00B54E20"/>
    <w:rsid w:val="00B63CFA"/>
    <w:rsid w:val="00BB288F"/>
    <w:rsid w:val="00BF0DA8"/>
    <w:rsid w:val="00C177D2"/>
    <w:rsid w:val="00C26808"/>
    <w:rsid w:val="00C90ADF"/>
    <w:rsid w:val="00C96C2D"/>
    <w:rsid w:val="00CE4978"/>
    <w:rsid w:val="00D0456D"/>
    <w:rsid w:val="00D0697F"/>
    <w:rsid w:val="00D17CD3"/>
    <w:rsid w:val="00D73D5E"/>
    <w:rsid w:val="00D85078"/>
    <w:rsid w:val="00DA6975"/>
    <w:rsid w:val="00DB1FEC"/>
    <w:rsid w:val="00DD7DB9"/>
    <w:rsid w:val="00DE2F43"/>
    <w:rsid w:val="00DF5643"/>
    <w:rsid w:val="00E45485"/>
    <w:rsid w:val="00E50450"/>
    <w:rsid w:val="00E516FF"/>
    <w:rsid w:val="00E73F5B"/>
    <w:rsid w:val="00EA1446"/>
    <w:rsid w:val="00EC3CF1"/>
    <w:rsid w:val="00EC5A2E"/>
    <w:rsid w:val="00EE5EB2"/>
    <w:rsid w:val="00EF6427"/>
    <w:rsid w:val="00F16D86"/>
    <w:rsid w:val="00F216A1"/>
    <w:rsid w:val="00F31774"/>
    <w:rsid w:val="00F74F45"/>
    <w:rsid w:val="00F87CE3"/>
    <w:rsid w:val="00FF6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40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44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0C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7440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440C5"/>
    <w:pPr>
      <w:ind w:left="720"/>
      <w:contextualSpacing/>
    </w:pPr>
  </w:style>
  <w:style w:type="paragraph" w:styleId="BalloonText">
    <w:name w:val="Balloon Text"/>
    <w:basedOn w:val="Normal"/>
    <w:link w:val="BalloonTextChar"/>
    <w:uiPriority w:val="99"/>
    <w:semiHidden/>
    <w:unhideWhenUsed/>
    <w:rsid w:val="00744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0C5"/>
    <w:rPr>
      <w:rFonts w:ascii="Tahoma" w:hAnsi="Tahoma" w:cs="Tahoma"/>
      <w:sz w:val="16"/>
      <w:szCs w:val="16"/>
    </w:rPr>
  </w:style>
  <w:style w:type="table" w:styleId="TableGrid">
    <w:name w:val="Table Grid"/>
    <w:basedOn w:val="TableNormal"/>
    <w:uiPriority w:val="59"/>
    <w:rsid w:val="0074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4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0C5"/>
  </w:style>
  <w:style w:type="paragraph" w:styleId="Footer">
    <w:name w:val="footer"/>
    <w:basedOn w:val="Normal"/>
    <w:link w:val="FooterChar"/>
    <w:uiPriority w:val="99"/>
    <w:unhideWhenUsed/>
    <w:rsid w:val="00744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0C5"/>
  </w:style>
  <w:style w:type="paragraph" w:styleId="ListBullet">
    <w:name w:val="List Bullet"/>
    <w:basedOn w:val="Normal"/>
    <w:uiPriority w:val="99"/>
    <w:unhideWhenUsed/>
    <w:rsid w:val="007440C5"/>
    <w:pPr>
      <w:numPr>
        <w:numId w:val="2"/>
      </w:numPr>
      <w:contextualSpacing/>
    </w:pPr>
  </w:style>
  <w:style w:type="character" w:styleId="IntenseEmphasis">
    <w:name w:val="Intense Emphasis"/>
    <w:basedOn w:val="DefaultParagraphFont"/>
    <w:uiPriority w:val="21"/>
    <w:qFormat/>
    <w:rsid w:val="007440C5"/>
    <w:rPr>
      <w:b/>
      <w:bCs/>
      <w:i/>
      <w:iCs/>
      <w:color w:val="4F81BD" w:themeColor="accent1"/>
    </w:rPr>
  </w:style>
  <w:style w:type="paragraph" w:styleId="NormalWeb">
    <w:name w:val="Normal (Web)"/>
    <w:basedOn w:val="Normal"/>
    <w:uiPriority w:val="99"/>
    <w:unhideWhenUsed/>
    <w:rsid w:val="007440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440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40C5"/>
    <w:rPr>
      <w:sz w:val="20"/>
      <w:szCs w:val="20"/>
    </w:rPr>
  </w:style>
  <w:style w:type="character" w:styleId="FootnoteReference">
    <w:name w:val="footnote reference"/>
    <w:uiPriority w:val="99"/>
    <w:semiHidden/>
    <w:unhideWhenUsed/>
    <w:rsid w:val="007440C5"/>
    <w:rPr>
      <w:vertAlign w:val="superscript"/>
    </w:rPr>
  </w:style>
  <w:style w:type="character" w:styleId="Emphasis">
    <w:name w:val="Emphasis"/>
    <w:basedOn w:val="DefaultParagraphFont"/>
    <w:uiPriority w:val="20"/>
    <w:qFormat/>
    <w:rsid w:val="007440C5"/>
    <w:rPr>
      <w:i/>
      <w:iCs/>
    </w:rPr>
  </w:style>
  <w:style w:type="character" w:styleId="Hyperlink">
    <w:name w:val="Hyperlink"/>
    <w:basedOn w:val="DefaultParagraphFont"/>
    <w:uiPriority w:val="99"/>
    <w:unhideWhenUsed/>
    <w:rsid w:val="007440C5"/>
    <w:rPr>
      <w:color w:val="0000FF" w:themeColor="hyperlink"/>
      <w:u w:val="single"/>
    </w:rPr>
  </w:style>
  <w:style w:type="character" w:styleId="Strong">
    <w:name w:val="Strong"/>
    <w:basedOn w:val="DefaultParagraphFont"/>
    <w:uiPriority w:val="22"/>
    <w:qFormat/>
    <w:rsid w:val="007440C5"/>
    <w:rPr>
      <w:b/>
      <w:bCs/>
    </w:rPr>
  </w:style>
  <w:style w:type="character" w:customStyle="1" w:styleId="yiv9757192353">
    <w:name w:val="yiv9757192353"/>
    <w:rsid w:val="00744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40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7440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0C5"/>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7440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440C5"/>
    <w:pPr>
      <w:ind w:left="720"/>
      <w:contextualSpacing/>
    </w:pPr>
  </w:style>
  <w:style w:type="paragraph" w:styleId="BalloonText">
    <w:name w:val="Balloon Text"/>
    <w:basedOn w:val="Normal"/>
    <w:link w:val="BalloonTextChar"/>
    <w:uiPriority w:val="99"/>
    <w:semiHidden/>
    <w:unhideWhenUsed/>
    <w:rsid w:val="00744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0C5"/>
    <w:rPr>
      <w:rFonts w:ascii="Tahoma" w:hAnsi="Tahoma" w:cs="Tahoma"/>
      <w:sz w:val="16"/>
      <w:szCs w:val="16"/>
    </w:rPr>
  </w:style>
  <w:style w:type="table" w:styleId="TableGrid">
    <w:name w:val="Table Grid"/>
    <w:basedOn w:val="TableNormal"/>
    <w:uiPriority w:val="59"/>
    <w:rsid w:val="00744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4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0C5"/>
  </w:style>
  <w:style w:type="paragraph" w:styleId="Footer">
    <w:name w:val="footer"/>
    <w:basedOn w:val="Normal"/>
    <w:link w:val="FooterChar"/>
    <w:uiPriority w:val="99"/>
    <w:unhideWhenUsed/>
    <w:rsid w:val="00744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0C5"/>
  </w:style>
  <w:style w:type="paragraph" w:styleId="ListBullet">
    <w:name w:val="List Bullet"/>
    <w:basedOn w:val="Normal"/>
    <w:uiPriority w:val="99"/>
    <w:unhideWhenUsed/>
    <w:rsid w:val="007440C5"/>
    <w:pPr>
      <w:numPr>
        <w:numId w:val="2"/>
      </w:numPr>
      <w:contextualSpacing/>
    </w:pPr>
  </w:style>
  <w:style w:type="character" w:styleId="IntenseEmphasis">
    <w:name w:val="Intense Emphasis"/>
    <w:basedOn w:val="DefaultParagraphFont"/>
    <w:uiPriority w:val="21"/>
    <w:qFormat/>
    <w:rsid w:val="007440C5"/>
    <w:rPr>
      <w:b/>
      <w:bCs/>
      <w:i/>
      <w:iCs/>
      <w:color w:val="4F81BD" w:themeColor="accent1"/>
    </w:rPr>
  </w:style>
  <w:style w:type="paragraph" w:styleId="NormalWeb">
    <w:name w:val="Normal (Web)"/>
    <w:basedOn w:val="Normal"/>
    <w:uiPriority w:val="99"/>
    <w:unhideWhenUsed/>
    <w:rsid w:val="007440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440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40C5"/>
    <w:rPr>
      <w:sz w:val="20"/>
      <w:szCs w:val="20"/>
    </w:rPr>
  </w:style>
  <w:style w:type="character" w:styleId="FootnoteReference">
    <w:name w:val="footnote reference"/>
    <w:uiPriority w:val="99"/>
    <w:semiHidden/>
    <w:unhideWhenUsed/>
    <w:rsid w:val="007440C5"/>
    <w:rPr>
      <w:vertAlign w:val="superscript"/>
    </w:rPr>
  </w:style>
  <w:style w:type="character" w:styleId="Emphasis">
    <w:name w:val="Emphasis"/>
    <w:basedOn w:val="DefaultParagraphFont"/>
    <w:uiPriority w:val="20"/>
    <w:qFormat/>
    <w:rsid w:val="007440C5"/>
    <w:rPr>
      <w:i/>
      <w:iCs/>
    </w:rPr>
  </w:style>
  <w:style w:type="character" w:styleId="Hyperlink">
    <w:name w:val="Hyperlink"/>
    <w:basedOn w:val="DefaultParagraphFont"/>
    <w:uiPriority w:val="99"/>
    <w:unhideWhenUsed/>
    <w:rsid w:val="007440C5"/>
    <w:rPr>
      <w:color w:val="0000FF" w:themeColor="hyperlink"/>
      <w:u w:val="single"/>
    </w:rPr>
  </w:style>
  <w:style w:type="character" w:styleId="Strong">
    <w:name w:val="Strong"/>
    <w:basedOn w:val="DefaultParagraphFont"/>
    <w:uiPriority w:val="22"/>
    <w:qFormat/>
    <w:rsid w:val="007440C5"/>
    <w:rPr>
      <w:b/>
      <w:bCs/>
    </w:rPr>
  </w:style>
  <w:style w:type="character" w:customStyle="1" w:styleId="yiv9757192353">
    <w:name w:val="yiv9757192353"/>
    <w:rsid w:val="00744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90121">
      <w:bodyDiv w:val="1"/>
      <w:marLeft w:val="0"/>
      <w:marRight w:val="0"/>
      <w:marTop w:val="0"/>
      <w:marBottom w:val="0"/>
      <w:divBdr>
        <w:top w:val="none" w:sz="0" w:space="0" w:color="auto"/>
        <w:left w:val="none" w:sz="0" w:space="0" w:color="auto"/>
        <w:bottom w:val="none" w:sz="0" w:space="0" w:color="auto"/>
        <w:right w:val="none" w:sz="0" w:space="0" w:color="auto"/>
      </w:divBdr>
      <w:divsChild>
        <w:div w:id="1077820988">
          <w:marLeft w:val="0"/>
          <w:marRight w:val="0"/>
          <w:marTop w:val="0"/>
          <w:marBottom w:val="0"/>
          <w:divBdr>
            <w:top w:val="none" w:sz="0" w:space="0" w:color="auto"/>
            <w:left w:val="none" w:sz="0" w:space="0" w:color="auto"/>
            <w:bottom w:val="none" w:sz="0" w:space="0" w:color="auto"/>
            <w:right w:val="none" w:sz="0" w:space="0" w:color="auto"/>
          </w:divBdr>
          <w:divsChild>
            <w:div w:id="1708791324">
              <w:marLeft w:val="0"/>
              <w:marRight w:val="0"/>
              <w:marTop w:val="0"/>
              <w:marBottom w:val="0"/>
              <w:divBdr>
                <w:top w:val="none" w:sz="0" w:space="0" w:color="auto"/>
                <w:left w:val="none" w:sz="0" w:space="0" w:color="auto"/>
                <w:bottom w:val="none" w:sz="0" w:space="0" w:color="auto"/>
                <w:right w:val="none" w:sz="0" w:space="0" w:color="auto"/>
              </w:divBdr>
              <w:divsChild>
                <w:div w:id="1662537569">
                  <w:marLeft w:val="0"/>
                  <w:marRight w:val="0"/>
                  <w:marTop w:val="100"/>
                  <w:marBottom w:val="100"/>
                  <w:divBdr>
                    <w:top w:val="none" w:sz="0" w:space="0" w:color="auto"/>
                    <w:left w:val="none" w:sz="0" w:space="0" w:color="auto"/>
                    <w:bottom w:val="none" w:sz="0" w:space="0" w:color="auto"/>
                    <w:right w:val="none" w:sz="0" w:space="0" w:color="auto"/>
                  </w:divBdr>
                  <w:divsChild>
                    <w:div w:id="2096316787">
                      <w:marLeft w:val="0"/>
                      <w:marRight w:val="0"/>
                      <w:marTop w:val="0"/>
                      <w:marBottom w:val="0"/>
                      <w:divBdr>
                        <w:top w:val="none" w:sz="0" w:space="0" w:color="auto"/>
                        <w:left w:val="none" w:sz="0" w:space="0" w:color="auto"/>
                        <w:bottom w:val="none" w:sz="0" w:space="0" w:color="auto"/>
                        <w:right w:val="none" w:sz="0" w:space="0" w:color="auto"/>
                      </w:divBdr>
                      <w:divsChild>
                        <w:div w:id="378626358">
                          <w:marLeft w:val="0"/>
                          <w:marRight w:val="0"/>
                          <w:marTop w:val="0"/>
                          <w:marBottom w:val="0"/>
                          <w:divBdr>
                            <w:top w:val="none" w:sz="0" w:space="0" w:color="auto"/>
                            <w:left w:val="none" w:sz="0" w:space="0" w:color="auto"/>
                            <w:bottom w:val="none" w:sz="0" w:space="0" w:color="auto"/>
                            <w:right w:val="none" w:sz="0" w:space="0" w:color="auto"/>
                          </w:divBdr>
                          <w:divsChild>
                            <w:div w:id="1796681585">
                              <w:marLeft w:val="0"/>
                              <w:marRight w:val="0"/>
                              <w:marTop w:val="0"/>
                              <w:marBottom w:val="0"/>
                              <w:divBdr>
                                <w:top w:val="none" w:sz="0" w:space="0" w:color="auto"/>
                                <w:left w:val="none" w:sz="0" w:space="0" w:color="auto"/>
                                <w:bottom w:val="none" w:sz="0" w:space="0" w:color="auto"/>
                                <w:right w:val="none" w:sz="0" w:space="0" w:color="auto"/>
                              </w:divBdr>
                              <w:divsChild>
                                <w:div w:id="1363050371">
                                  <w:marLeft w:val="0"/>
                                  <w:marRight w:val="0"/>
                                  <w:marTop w:val="0"/>
                                  <w:marBottom w:val="0"/>
                                  <w:divBdr>
                                    <w:top w:val="none" w:sz="0" w:space="0" w:color="auto"/>
                                    <w:left w:val="none" w:sz="0" w:space="0" w:color="auto"/>
                                    <w:bottom w:val="none" w:sz="0" w:space="0" w:color="auto"/>
                                    <w:right w:val="none" w:sz="0" w:space="0" w:color="auto"/>
                                  </w:divBdr>
                                  <w:divsChild>
                                    <w:div w:id="44109383">
                                      <w:marLeft w:val="0"/>
                                      <w:marRight w:val="0"/>
                                      <w:marTop w:val="0"/>
                                      <w:marBottom w:val="0"/>
                                      <w:divBdr>
                                        <w:top w:val="none" w:sz="0" w:space="0" w:color="auto"/>
                                        <w:left w:val="none" w:sz="0" w:space="0" w:color="auto"/>
                                        <w:bottom w:val="none" w:sz="0" w:space="0" w:color="auto"/>
                                        <w:right w:val="none" w:sz="0" w:space="0" w:color="auto"/>
                                      </w:divBdr>
                                      <w:divsChild>
                                        <w:div w:id="1744257969">
                                          <w:marLeft w:val="0"/>
                                          <w:marRight w:val="0"/>
                                          <w:marTop w:val="0"/>
                                          <w:marBottom w:val="0"/>
                                          <w:divBdr>
                                            <w:top w:val="none" w:sz="0" w:space="0" w:color="auto"/>
                                            <w:left w:val="none" w:sz="0" w:space="0" w:color="auto"/>
                                            <w:bottom w:val="none" w:sz="0" w:space="0" w:color="auto"/>
                                            <w:right w:val="none" w:sz="0" w:space="0" w:color="auto"/>
                                          </w:divBdr>
                                          <w:divsChild>
                                            <w:div w:id="845945594">
                                              <w:marLeft w:val="0"/>
                                              <w:marRight w:val="0"/>
                                              <w:marTop w:val="0"/>
                                              <w:marBottom w:val="0"/>
                                              <w:divBdr>
                                                <w:top w:val="none" w:sz="0" w:space="0" w:color="auto"/>
                                                <w:left w:val="none" w:sz="0" w:space="0" w:color="auto"/>
                                                <w:bottom w:val="none" w:sz="0" w:space="0" w:color="auto"/>
                                                <w:right w:val="none" w:sz="0" w:space="0" w:color="auto"/>
                                              </w:divBdr>
                                              <w:divsChild>
                                                <w:div w:id="555746883">
                                                  <w:marLeft w:val="0"/>
                                                  <w:marRight w:val="300"/>
                                                  <w:marTop w:val="0"/>
                                                  <w:marBottom w:val="0"/>
                                                  <w:divBdr>
                                                    <w:top w:val="none" w:sz="0" w:space="0" w:color="auto"/>
                                                    <w:left w:val="none" w:sz="0" w:space="0" w:color="auto"/>
                                                    <w:bottom w:val="none" w:sz="0" w:space="0" w:color="auto"/>
                                                    <w:right w:val="none" w:sz="0" w:space="0" w:color="auto"/>
                                                  </w:divBdr>
                                                  <w:divsChild>
                                                    <w:div w:id="1442530002">
                                                      <w:marLeft w:val="0"/>
                                                      <w:marRight w:val="0"/>
                                                      <w:marTop w:val="0"/>
                                                      <w:marBottom w:val="0"/>
                                                      <w:divBdr>
                                                        <w:top w:val="none" w:sz="0" w:space="0" w:color="auto"/>
                                                        <w:left w:val="none" w:sz="0" w:space="0" w:color="auto"/>
                                                        <w:bottom w:val="none" w:sz="0" w:space="0" w:color="auto"/>
                                                        <w:right w:val="none" w:sz="0" w:space="0" w:color="auto"/>
                                                      </w:divBdr>
                                                      <w:divsChild>
                                                        <w:div w:id="2099254292">
                                                          <w:marLeft w:val="0"/>
                                                          <w:marRight w:val="0"/>
                                                          <w:marTop w:val="0"/>
                                                          <w:marBottom w:val="300"/>
                                                          <w:divBdr>
                                                            <w:top w:val="single" w:sz="6" w:space="0" w:color="CCCCCC"/>
                                                            <w:left w:val="none" w:sz="0" w:space="0" w:color="auto"/>
                                                            <w:bottom w:val="none" w:sz="0" w:space="0" w:color="auto"/>
                                                            <w:right w:val="none" w:sz="0" w:space="0" w:color="auto"/>
                                                          </w:divBdr>
                                                          <w:divsChild>
                                                            <w:div w:id="18970499">
                                                              <w:marLeft w:val="0"/>
                                                              <w:marRight w:val="0"/>
                                                              <w:marTop w:val="0"/>
                                                              <w:marBottom w:val="0"/>
                                                              <w:divBdr>
                                                                <w:top w:val="none" w:sz="0" w:space="0" w:color="auto"/>
                                                                <w:left w:val="none" w:sz="0" w:space="0" w:color="auto"/>
                                                                <w:bottom w:val="none" w:sz="0" w:space="0" w:color="auto"/>
                                                                <w:right w:val="none" w:sz="0" w:space="0" w:color="auto"/>
                                                              </w:divBdr>
                                                              <w:divsChild>
                                                                <w:div w:id="208878149">
                                                                  <w:marLeft w:val="0"/>
                                                                  <w:marRight w:val="0"/>
                                                                  <w:marTop w:val="0"/>
                                                                  <w:marBottom w:val="0"/>
                                                                  <w:divBdr>
                                                                    <w:top w:val="none" w:sz="0" w:space="0" w:color="auto"/>
                                                                    <w:left w:val="none" w:sz="0" w:space="0" w:color="auto"/>
                                                                    <w:bottom w:val="none" w:sz="0" w:space="0" w:color="auto"/>
                                                                    <w:right w:val="none" w:sz="0" w:space="0" w:color="auto"/>
                                                                  </w:divBdr>
                                                                  <w:divsChild>
                                                                    <w:div w:id="1326786873">
                                                                      <w:marLeft w:val="0"/>
                                                                      <w:marRight w:val="0"/>
                                                                      <w:marTop w:val="0"/>
                                                                      <w:marBottom w:val="0"/>
                                                                      <w:divBdr>
                                                                        <w:top w:val="none" w:sz="0" w:space="0" w:color="auto"/>
                                                                        <w:left w:val="none" w:sz="0" w:space="0" w:color="auto"/>
                                                                        <w:bottom w:val="none" w:sz="0" w:space="0" w:color="auto"/>
                                                                        <w:right w:val="none" w:sz="0" w:space="0" w:color="auto"/>
                                                                      </w:divBdr>
                                                                      <w:divsChild>
                                                                        <w:div w:id="1687709258">
                                                                          <w:marLeft w:val="0"/>
                                                                          <w:marRight w:val="0"/>
                                                                          <w:marTop w:val="0"/>
                                                                          <w:marBottom w:val="0"/>
                                                                          <w:divBdr>
                                                                            <w:top w:val="none" w:sz="0" w:space="0" w:color="auto"/>
                                                                            <w:left w:val="none" w:sz="0" w:space="0" w:color="auto"/>
                                                                            <w:bottom w:val="none" w:sz="0" w:space="0" w:color="auto"/>
                                                                            <w:right w:val="none" w:sz="0" w:space="0" w:color="auto"/>
                                                                          </w:divBdr>
                                                                          <w:divsChild>
                                                                            <w:div w:id="1329021652">
                                                                              <w:marLeft w:val="0"/>
                                                                              <w:marRight w:val="0"/>
                                                                              <w:marTop w:val="0"/>
                                                                              <w:marBottom w:val="0"/>
                                                                              <w:divBdr>
                                                                                <w:top w:val="none" w:sz="0" w:space="0" w:color="auto"/>
                                                                                <w:left w:val="none" w:sz="0" w:space="0" w:color="auto"/>
                                                                                <w:bottom w:val="none" w:sz="0" w:space="0" w:color="auto"/>
                                                                                <w:right w:val="none" w:sz="0" w:space="0" w:color="auto"/>
                                                                              </w:divBdr>
                                                                              <w:divsChild>
                                                                                <w:div w:id="2022393276">
                                                                                  <w:marLeft w:val="0"/>
                                                                                  <w:marRight w:val="0"/>
                                                                                  <w:marTop w:val="0"/>
                                                                                  <w:marBottom w:val="0"/>
                                                                                  <w:divBdr>
                                                                                    <w:top w:val="none" w:sz="0" w:space="0" w:color="auto"/>
                                                                                    <w:left w:val="none" w:sz="0" w:space="0" w:color="auto"/>
                                                                                    <w:bottom w:val="none" w:sz="0" w:space="0" w:color="auto"/>
                                                                                    <w:right w:val="none" w:sz="0" w:space="0" w:color="auto"/>
                                                                                  </w:divBdr>
                                                                                  <w:divsChild>
                                                                                    <w:div w:id="992488264">
                                                                                      <w:marLeft w:val="0"/>
                                                                                      <w:marRight w:val="0"/>
                                                                                      <w:marTop w:val="0"/>
                                                                                      <w:marBottom w:val="0"/>
                                                                                      <w:divBdr>
                                                                                        <w:top w:val="none" w:sz="0" w:space="0" w:color="auto"/>
                                                                                        <w:left w:val="none" w:sz="0" w:space="0" w:color="auto"/>
                                                                                        <w:bottom w:val="none" w:sz="0" w:space="0" w:color="auto"/>
                                                                                        <w:right w:val="none" w:sz="0" w:space="0" w:color="auto"/>
                                                                                      </w:divBdr>
                                                                                      <w:divsChild>
                                                                                        <w:div w:id="37124537">
                                                                                          <w:marLeft w:val="0"/>
                                                                                          <w:marRight w:val="0"/>
                                                                                          <w:marTop w:val="0"/>
                                                                                          <w:marBottom w:val="0"/>
                                                                                          <w:divBdr>
                                                                                            <w:top w:val="none" w:sz="0" w:space="0" w:color="auto"/>
                                                                                            <w:left w:val="none" w:sz="0" w:space="0" w:color="auto"/>
                                                                                            <w:bottom w:val="none" w:sz="0" w:space="0" w:color="auto"/>
                                                                                            <w:right w:val="none" w:sz="0" w:space="0" w:color="auto"/>
                                                                                          </w:divBdr>
                                                                                        </w:div>
                                                                                        <w:div w:id="1250892806">
                                                                                          <w:marLeft w:val="0"/>
                                                                                          <w:marRight w:val="0"/>
                                                                                          <w:marTop w:val="0"/>
                                                                                          <w:marBottom w:val="0"/>
                                                                                          <w:divBdr>
                                                                                            <w:top w:val="none" w:sz="0" w:space="0" w:color="auto"/>
                                                                                            <w:left w:val="none" w:sz="0" w:space="0" w:color="auto"/>
                                                                                            <w:bottom w:val="none" w:sz="0" w:space="0" w:color="auto"/>
                                                                                            <w:right w:val="none" w:sz="0" w:space="0" w:color="auto"/>
                                                                                          </w:divBdr>
                                                                                        </w:div>
                                                                                        <w:div w:id="350423195">
                                                                                          <w:marLeft w:val="0"/>
                                                                                          <w:marRight w:val="0"/>
                                                                                          <w:marTop w:val="0"/>
                                                                                          <w:marBottom w:val="0"/>
                                                                                          <w:divBdr>
                                                                                            <w:top w:val="none" w:sz="0" w:space="0" w:color="auto"/>
                                                                                            <w:left w:val="none" w:sz="0" w:space="0" w:color="auto"/>
                                                                                            <w:bottom w:val="none" w:sz="0" w:space="0" w:color="auto"/>
                                                                                            <w:right w:val="none" w:sz="0" w:space="0" w:color="auto"/>
                                                                                          </w:divBdr>
                                                                                        </w:div>
                                                                                        <w:div w:id="689642769">
                                                                                          <w:marLeft w:val="0"/>
                                                                                          <w:marRight w:val="0"/>
                                                                                          <w:marTop w:val="0"/>
                                                                                          <w:marBottom w:val="0"/>
                                                                                          <w:divBdr>
                                                                                            <w:top w:val="none" w:sz="0" w:space="0" w:color="auto"/>
                                                                                            <w:left w:val="none" w:sz="0" w:space="0" w:color="auto"/>
                                                                                            <w:bottom w:val="none" w:sz="0" w:space="0" w:color="auto"/>
                                                                                            <w:right w:val="none" w:sz="0" w:space="0" w:color="auto"/>
                                                                                          </w:divBdr>
                                                                                        </w:div>
                                                                                        <w:div w:id="8087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me.co.uk"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http://www.home.co.uk"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me.co.uk" TargetMode="Externa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hyperlink" Target="http://www.home.co.uk" TargetMode="External"/><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ome.co.uk" TargetMode="External"/><Relationship Id="rId14" Type="http://schemas.openxmlformats.org/officeDocument/2006/relationships/hyperlink" Target="http://www.home.co.uk"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ocuments\Documents\UNIPOL\UNIPOL\Bradford\Residence%20tables%20for%20report%2014.9.201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ocuments\Documents\UNIPOL\UNIPOL\Bradford\Residence%20tables%20for%20report%2014.9.201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cuments\Documents\UNIPOL\UNIPOL\Bradford\Residence%20tables%20for%20report%2014.9.2014.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15745911423901"/>
          <c:y val="2.7817758542344001E-2"/>
          <c:w val="0.83471103501638999"/>
          <c:h val="0.75062435796475502"/>
        </c:manualLayout>
      </c:layout>
      <c:lineChart>
        <c:grouping val="standard"/>
        <c:varyColors val="0"/>
        <c:ser>
          <c:idx val="0"/>
          <c:order val="0"/>
          <c:tx>
            <c:strRef>
              <c:f>Sheet1!$A$3</c:f>
              <c:strCache>
                <c:ptCount val="1"/>
                <c:pt idx="0">
                  <c:v>UK</c:v>
                </c:pt>
              </c:strCache>
            </c:strRef>
          </c:tx>
          <c:marker>
            <c:symbol val="none"/>
          </c:marker>
          <c:cat>
            <c:strRef>
              <c:f>Sheet1!$B$2:$K$2</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Sheet1!$B$3:$K$3</c:f>
              <c:numCache>
                <c:formatCode>General</c:formatCode>
                <c:ptCount val="10"/>
                <c:pt idx="0">
                  <c:v>333215</c:v>
                </c:pt>
                <c:pt idx="1">
                  <c:v>359075</c:v>
                </c:pt>
                <c:pt idx="2">
                  <c:v>344365</c:v>
                </c:pt>
                <c:pt idx="3">
                  <c:v>363370</c:v>
                </c:pt>
                <c:pt idx="4">
                  <c:v>403855</c:v>
                </c:pt>
                <c:pt idx="5">
                  <c:v>423955</c:v>
                </c:pt>
                <c:pt idx="6">
                  <c:v>423430</c:v>
                </c:pt>
                <c:pt idx="7">
                  <c:v>430070</c:v>
                </c:pt>
                <c:pt idx="8">
                  <c:v>406240</c:v>
                </c:pt>
                <c:pt idx="9">
                  <c:v>433610</c:v>
                </c:pt>
              </c:numCache>
            </c:numRef>
          </c:val>
          <c:smooth val="0"/>
        </c:ser>
        <c:ser>
          <c:idx val="1"/>
          <c:order val="1"/>
          <c:tx>
            <c:strRef>
              <c:f>Sheet1!$A$4</c:f>
              <c:strCache>
                <c:ptCount val="1"/>
                <c:pt idx="0">
                  <c:v>Non-EU</c:v>
                </c:pt>
              </c:strCache>
            </c:strRef>
          </c:tx>
          <c:marker>
            <c:symbol val="none"/>
          </c:marker>
          <c:cat>
            <c:strRef>
              <c:f>Sheet1!$B$2:$K$2</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Sheet1!$B$4:$K$4</c:f>
              <c:numCache>
                <c:formatCode>General</c:formatCode>
                <c:ptCount val="10"/>
                <c:pt idx="0">
                  <c:v>28875</c:v>
                </c:pt>
                <c:pt idx="1">
                  <c:v>29045</c:v>
                </c:pt>
                <c:pt idx="2">
                  <c:v>28245</c:v>
                </c:pt>
                <c:pt idx="3">
                  <c:v>29400</c:v>
                </c:pt>
                <c:pt idx="4">
                  <c:v>31405</c:v>
                </c:pt>
                <c:pt idx="5">
                  <c:v>34095</c:v>
                </c:pt>
                <c:pt idx="6">
                  <c:v>38290</c:v>
                </c:pt>
                <c:pt idx="7">
                  <c:v>35260</c:v>
                </c:pt>
                <c:pt idx="8">
                  <c:v>35435</c:v>
                </c:pt>
                <c:pt idx="9">
                  <c:v>37375</c:v>
                </c:pt>
              </c:numCache>
            </c:numRef>
          </c:val>
          <c:smooth val="0"/>
        </c:ser>
        <c:ser>
          <c:idx val="2"/>
          <c:order val="2"/>
          <c:tx>
            <c:strRef>
              <c:f>Sheet1!$A$5</c:f>
              <c:strCache>
                <c:ptCount val="1"/>
                <c:pt idx="0">
                  <c:v>Other EU</c:v>
                </c:pt>
              </c:strCache>
            </c:strRef>
          </c:tx>
          <c:marker>
            <c:symbol val="none"/>
          </c:marker>
          <c:cat>
            <c:strRef>
              <c:f>Sheet1!$B$2:$K$2</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Sheet1!$B$5:$K$5</c:f>
              <c:numCache>
                <c:formatCode>General</c:formatCode>
                <c:ptCount val="10"/>
                <c:pt idx="0">
                  <c:v>15450</c:v>
                </c:pt>
                <c:pt idx="1">
                  <c:v>17245</c:v>
                </c:pt>
                <c:pt idx="2">
                  <c:v>18280</c:v>
                </c:pt>
                <c:pt idx="3">
                  <c:v>20660</c:v>
                </c:pt>
                <c:pt idx="4">
                  <c:v>21365</c:v>
                </c:pt>
                <c:pt idx="5">
                  <c:v>23805</c:v>
                </c:pt>
                <c:pt idx="6">
                  <c:v>25605</c:v>
                </c:pt>
                <c:pt idx="7">
                  <c:v>26700</c:v>
                </c:pt>
                <c:pt idx="8">
                  <c:v>23235</c:v>
                </c:pt>
                <c:pt idx="9">
                  <c:v>24510</c:v>
                </c:pt>
              </c:numCache>
            </c:numRef>
          </c:val>
          <c:smooth val="0"/>
        </c:ser>
        <c:ser>
          <c:idx val="3"/>
          <c:order val="3"/>
          <c:tx>
            <c:strRef>
              <c:f>Sheet1!$A$6</c:f>
              <c:strCache>
                <c:ptCount val="1"/>
                <c:pt idx="0">
                  <c:v>TOTAL</c:v>
                </c:pt>
              </c:strCache>
            </c:strRef>
          </c:tx>
          <c:marker>
            <c:symbol val="none"/>
          </c:marker>
          <c:cat>
            <c:strRef>
              <c:f>Sheet1!$B$2:$K$2</c:f>
              <c:strCache>
                <c:ptCount val="10"/>
                <c:pt idx="0">
                  <c:v>2004/05</c:v>
                </c:pt>
                <c:pt idx="1">
                  <c:v>2005/06</c:v>
                </c:pt>
                <c:pt idx="2">
                  <c:v>2006/07</c:v>
                </c:pt>
                <c:pt idx="3">
                  <c:v>2007/08</c:v>
                </c:pt>
                <c:pt idx="4">
                  <c:v>2008/09</c:v>
                </c:pt>
                <c:pt idx="5">
                  <c:v>2009/10</c:v>
                </c:pt>
                <c:pt idx="6">
                  <c:v>2010/11</c:v>
                </c:pt>
                <c:pt idx="7">
                  <c:v>2011/12</c:v>
                </c:pt>
                <c:pt idx="8">
                  <c:v>2012/13</c:v>
                </c:pt>
                <c:pt idx="9">
                  <c:v>2013/14</c:v>
                </c:pt>
              </c:strCache>
            </c:strRef>
          </c:cat>
          <c:val>
            <c:numRef>
              <c:f>Sheet1!$B$6:$K$6</c:f>
              <c:numCache>
                <c:formatCode>General</c:formatCode>
                <c:ptCount val="10"/>
                <c:pt idx="0">
                  <c:v>377540</c:v>
                </c:pt>
                <c:pt idx="1">
                  <c:v>405365</c:v>
                </c:pt>
                <c:pt idx="2">
                  <c:v>390890</c:v>
                </c:pt>
                <c:pt idx="3">
                  <c:v>413430</c:v>
                </c:pt>
                <c:pt idx="4">
                  <c:v>456625</c:v>
                </c:pt>
                <c:pt idx="5">
                  <c:v>481855</c:v>
                </c:pt>
                <c:pt idx="6">
                  <c:v>487325</c:v>
                </c:pt>
                <c:pt idx="7">
                  <c:v>492030</c:v>
                </c:pt>
                <c:pt idx="8">
                  <c:v>464910</c:v>
                </c:pt>
                <c:pt idx="9">
                  <c:v>495495</c:v>
                </c:pt>
              </c:numCache>
            </c:numRef>
          </c:val>
          <c:smooth val="0"/>
        </c:ser>
        <c:dLbls>
          <c:showLegendKey val="0"/>
          <c:showVal val="0"/>
          <c:showCatName val="0"/>
          <c:showSerName val="0"/>
          <c:showPercent val="0"/>
          <c:showBubbleSize val="0"/>
        </c:dLbls>
        <c:marker val="1"/>
        <c:smooth val="0"/>
        <c:axId val="39434880"/>
        <c:axId val="39444864"/>
      </c:lineChart>
      <c:catAx>
        <c:axId val="39434880"/>
        <c:scaling>
          <c:orientation val="minMax"/>
        </c:scaling>
        <c:delete val="0"/>
        <c:axPos val="b"/>
        <c:majorTickMark val="out"/>
        <c:minorTickMark val="none"/>
        <c:tickLblPos val="nextTo"/>
        <c:crossAx val="39444864"/>
        <c:crosses val="autoZero"/>
        <c:auto val="1"/>
        <c:lblAlgn val="ctr"/>
        <c:lblOffset val="100"/>
        <c:noMultiLvlLbl val="0"/>
      </c:catAx>
      <c:valAx>
        <c:axId val="39444864"/>
        <c:scaling>
          <c:orientation val="minMax"/>
        </c:scaling>
        <c:delete val="0"/>
        <c:axPos val="l"/>
        <c:majorGridlines/>
        <c:numFmt formatCode="General" sourceLinked="1"/>
        <c:majorTickMark val="out"/>
        <c:minorTickMark val="none"/>
        <c:tickLblPos val="nextTo"/>
        <c:crossAx val="3943488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891945468841711"/>
          <c:y val="3.507195221286994E-2"/>
          <c:w val="0.84607351296277844"/>
          <c:h val="0.87238483120644406"/>
        </c:manualLayout>
      </c:layout>
      <c:bar3DChart>
        <c:barDir val="col"/>
        <c:grouping val="clustered"/>
        <c:varyColors val="0"/>
        <c:ser>
          <c:idx val="0"/>
          <c:order val="0"/>
          <c:spPr>
            <a:solidFill>
              <a:schemeClr val="accent3">
                <a:lumMod val="60000"/>
                <a:lumOff val="40000"/>
              </a:schemeClr>
            </a:solidFill>
          </c:spPr>
          <c:invertIfNegative val="0"/>
          <c:cat>
            <c:strRef>
              <c:f>'Location 3'!$H$33:$H$42</c:f>
              <c:strCache>
                <c:ptCount val="10"/>
                <c:pt idx="0">
                  <c:v>Manningham</c:v>
                </c:pt>
                <c:pt idx="1">
                  <c:v>Other areas (24)</c:v>
                </c:pt>
                <c:pt idx="2">
                  <c:v>Great Horton</c:v>
                </c:pt>
                <c:pt idx="3">
                  <c:v>Little Horton area</c:v>
                </c:pt>
                <c:pt idx="4">
                  <c:v>Lidgett Green</c:v>
                </c:pt>
                <c:pt idx="5">
                  <c:v>Frizinghall</c:v>
                </c:pt>
                <c:pt idx="6">
                  <c:v>City Centre/Little Germany</c:v>
                </c:pt>
                <c:pt idx="7">
                  <c:v>Heaton </c:v>
                </c:pt>
                <c:pt idx="8">
                  <c:v>Shearbridge</c:v>
                </c:pt>
                <c:pt idx="9">
                  <c:v>Listerhills</c:v>
                </c:pt>
              </c:strCache>
            </c:strRef>
          </c:cat>
          <c:val>
            <c:numRef>
              <c:f>'Location 3'!$I$33:$I$42</c:f>
              <c:numCache>
                <c:formatCode>0.0%</c:formatCode>
                <c:ptCount val="10"/>
                <c:pt idx="0">
                  <c:v>-0.621</c:v>
                </c:pt>
                <c:pt idx="1">
                  <c:v>-0.59199999999999997</c:v>
                </c:pt>
                <c:pt idx="2">
                  <c:v>-0.46899999999999997</c:v>
                </c:pt>
                <c:pt idx="3">
                  <c:v>-0.4</c:v>
                </c:pt>
                <c:pt idx="4">
                  <c:v>-0.39700000000000002</c:v>
                </c:pt>
                <c:pt idx="5">
                  <c:v>-0.36699999999999999</c:v>
                </c:pt>
                <c:pt idx="6">
                  <c:v>-0.23499999999999999</c:v>
                </c:pt>
                <c:pt idx="7">
                  <c:v>-0.113</c:v>
                </c:pt>
                <c:pt idx="8">
                  <c:v>-9.0999999999999998E-2</c:v>
                </c:pt>
                <c:pt idx="9">
                  <c:v>-8.3000000000000004E-2</c:v>
                </c:pt>
              </c:numCache>
            </c:numRef>
          </c:val>
        </c:ser>
        <c:dLbls>
          <c:showLegendKey val="0"/>
          <c:showVal val="0"/>
          <c:showCatName val="0"/>
          <c:showSerName val="0"/>
          <c:showPercent val="0"/>
          <c:showBubbleSize val="0"/>
        </c:dLbls>
        <c:gapWidth val="150"/>
        <c:shape val="box"/>
        <c:axId val="77657984"/>
        <c:axId val="77659520"/>
        <c:axId val="0"/>
      </c:bar3DChart>
      <c:catAx>
        <c:axId val="77657984"/>
        <c:scaling>
          <c:orientation val="minMax"/>
        </c:scaling>
        <c:delete val="0"/>
        <c:axPos val="b"/>
        <c:majorTickMark val="out"/>
        <c:minorTickMark val="none"/>
        <c:tickLblPos val="nextTo"/>
        <c:txPr>
          <a:bodyPr/>
          <a:lstStyle/>
          <a:p>
            <a:pPr>
              <a:defRPr b="1" i="0" baseline="0"/>
            </a:pPr>
            <a:endParaRPr lang="en-US"/>
          </a:p>
        </c:txPr>
        <c:crossAx val="77659520"/>
        <c:crosses val="autoZero"/>
        <c:auto val="1"/>
        <c:lblAlgn val="ctr"/>
        <c:lblOffset val="100"/>
        <c:noMultiLvlLbl val="0"/>
      </c:catAx>
      <c:valAx>
        <c:axId val="77659520"/>
        <c:scaling>
          <c:orientation val="minMax"/>
        </c:scaling>
        <c:delete val="0"/>
        <c:axPos val="l"/>
        <c:majorGridlines/>
        <c:numFmt formatCode="0.0%" sourceLinked="1"/>
        <c:majorTickMark val="out"/>
        <c:minorTickMark val="none"/>
        <c:tickLblPos val="nextTo"/>
        <c:crossAx val="77657984"/>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Accommodation</a:t>
            </a:r>
            <a:r>
              <a:rPr lang="en-GB" sz="1200" baseline="0"/>
              <a:t> of returning students</a:t>
            </a:r>
            <a:endParaRPr lang="en-GB" sz="12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'Acc by year Graph'!$H$2</c:f>
              <c:strCache>
                <c:ptCount val="1"/>
                <c:pt idx="0">
                  <c:v>Bradford</c:v>
                </c:pt>
              </c:strCache>
            </c:strRef>
          </c:tx>
          <c:invertIfNegative val="0"/>
          <c:cat>
            <c:strRef>
              <c:f>'Acc by year Graph'!$G$3:$G$7</c:f>
              <c:strCache>
                <c:ptCount val="5"/>
                <c:pt idx="0">
                  <c:v>PBSA</c:v>
                </c:pt>
                <c:pt idx="1">
                  <c:v>Off Street</c:v>
                </c:pt>
                <c:pt idx="2">
                  <c:v>City Centre</c:v>
                </c:pt>
                <c:pt idx="3">
                  <c:v>At Home</c:v>
                </c:pt>
                <c:pt idx="4">
                  <c:v>Outside the city</c:v>
                </c:pt>
              </c:strCache>
            </c:strRef>
          </c:cat>
          <c:val>
            <c:numRef>
              <c:f>'Acc by year Graph'!$H$3:$H$7</c:f>
              <c:numCache>
                <c:formatCode>0%</c:formatCode>
                <c:ptCount val="5"/>
                <c:pt idx="0">
                  <c:v>0.19900000000000001</c:v>
                </c:pt>
                <c:pt idx="1">
                  <c:v>0.121</c:v>
                </c:pt>
                <c:pt idx="2" formatCode="0.00%">
                  <c:v>2.5999999999999999E-2</c:v>
                </c:pt>
                <c:pt idx="3" formatCode="0.00%">
                  <c:v>0.29899999999999999</c:v>
                </c:pt>
                <c:pt idx="4" formatCode="0.00%">
                  <c:v>0.35499999999999998</c:v>
                </c:pt>
              </c:numCache>
            </c:numRef>
          </c:val>
        </c:ser>
        <c:ser>
          <c:idx val="1"/>
          <c:order val="1"/>
          <c:tx>
            <c:strRef>
              <c:f>'Acc by year Graph'!$I$2</c:f>
              <c:strCache>
                <c:ptCount val="1"/>
                <c:pt idx="0">
                  <c:v>Nottingham</c:v>
                </c:pt>
              </c:strCache>
            </c:strRef>
          </c:tx>
          <c:invertIfNegative val="0"/>
          <c:cat>
            <c:strRef>
              <c:f>'Acc by year Graph'!$G$3:$G$7</c:f>
              <c:strCache>
                <c:ptCount val="5"/>
                <c:pt idx="0">
                  <c:v>PBSA</c:v>
                </c:pt>
                <c:pt idx="1">
                  <c:v>Off Street</c:v>
                </c:pt>
                <c:pt idx="2">
                  <c:v>City Centre</c:v>
                </c:pt>
                <c:pt idx="3">
                  <c:v>At Home</c:v>
                </c:pt>
                <c:pt idx="4">
                  <c:v>Outside the city</c:v>
                </c:pt>
              </c:strCache>
            </c:strRef>
          </c:cat>
          <c:val>
            <c:numRef>
              <c:f>'Acc by year Graph'!$I$3:$I$7</c:f>
              <c:numCache>
                <c:formatCode>0%</c:formatCode>
                <c:ptCount val="5"/>
                <c:pt idx="0">
                  <c:v>0.11</c:v>
                </c:pt>
                <c:pt idx="1">
                  <c:v>0.6</c:v>
                </c:pt>
                <c:pt idx="2" formatCode="0.00%">
                  <c:v>9.7000000000000003E-2</c:v>
                </c:pt>
                <c:pt idx="3" formatCode="0.00%">
                  <c:v>6.8000000000000005E-2</c:v>
                </c:pt>
                <c:pt idx="4" formatCode="0.00%">
                  <c:v>0.124</c:v>
                </c:pt>
              </c:numCache>
            </c:numRef>
          </c:val>
        </c:ser>
        <c:dLbls>
          <c:showLegendKey val="0"/>
          <c:showVal val="0"/>
          <c:showCatName val="0"/>
          <c:showSerName val="0"/>
          <c:showPercent val="0"/>
          <c:showBubbleSize val="0"/>
        </c:dLbls>
        <c:gapWidth val="150"/>
        <c:shape val="box"/>
        <c:axId val="78126464"/>
        <c:axId val="78148736"/>
        <c:axId val="0"/>
      </c:bar3DChart>
      <c:catAx>
        <c:axId val="78126464"/>
        <c:scaling>
          <c:orientation val="minMax"/>
        </c:scaling>
        <c:delete val="0"/>
        <c:axPos val="b"/>
        <c:majorTickMark val="none"/>
        <c:minorTickMark val="none"/>
        <c:tickLblPos val="nextTo"/>
        <c:crossAx val="78148736"/>
        <c:crosses val="autoZero"/>
        <c:auto val="1"/>
        <c:lblAlgn val="ctr"/>
        <c:lblOffset val="100"/>
        <c:noMultiLvlLbl val="0"/>
      </c:catAx>
      <c:valAx>
        <c:axId val="78148736"/>
        <c:scaling>
          <c:orientation val="minMax"/>
        </c:scaling>
        <c:delete val="0"/>
        <c:axPos val="l"/>
        <c:majorGridlines/>
        <c:numFmt formatCode="0%" sourceLinked="1"/>
        <c:majorTickMark val="none"/>
        <c:minorTickMark val="none"/>
        <c:tickLblPos val="nextTo"/>
        <c:crossAx val="781264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Accommodation of new</a:t>
            </a:r>
            <a:r>
              <a:rPr lang="en-GB" sz="1200" baseline="0"/>
              <a:t> students</a:t>
            </a:r>
            <a:endParaRPr lang="en-GB" sz="1200"/>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'Acc by year Graph'!$H$9</c:f>
              <c:strCache>
                <c:ptCount val="1"/>
                <c:pt idx="0">
                  <c:v>Bradford</c:v>
                </c:pt>
              </c:strCache>
            </c:strRef>
          </c:tx>
          <c:invertIfNegative val="0"/>
          <c:cat>
            <c:strRef>
              <c:f>'Acc by year Graph'!$G$10:$G$14</c:f>
              <c:strCache>
                <c:ptCount val="5"/>
                <c:pt idx="0">
                  <c:v>PBSA</c:v>
                </c:pt>
                <c:pt idx="1">
                  <c:v>Off Street</c:v>
                </c:pt>
                <c:pt idx="2">
                  <c:v>City Centre</c:v>
                </c:pt>
                <c:pt idx="3">
                  <c:v>At Home</c:v>
                </c:pt>
                <c:pt idx="4">
                  <c:v>Outside the city</c:v>
                </c:pt>
              </c:strCache>
            </c:strRef>
          </c:cat>
          <c:val>
            <c:numRef>
              <c:f>'Acc by year Graph'!$H$10:$H$14</c:f>
              <c:numCache>
                <c:formatCode>0.00%</c:formatCode>
                <c:ptCount val="5"/>
                <c:pt idx="0">
                  <c:v>0.32200000000000001</c:v>
                </c:pt>
                <c:pt idx="1">
                  <c:v>2.4E-2</c:v>
                </c:pt>
                <c:pt idx="2">
                  <c:v>1.4999999999999999E-2</c:v>
                </c:pt>
                <c:pt idx="3">
                  <c:v>0.27200000000000002</c:v>
                </c:pt>
                <c:pt idx="4">
                  <c:v>0.35</c:v>
                </c:pt>
              </c:numCache>
            </c:numRef>
          </c:val>
        </c:ser>
        <c:ser>
          <c:idx val="1"/>
          <c:order val="1"/>
          <c:tx>
            <c:strRef>
              <c:f>'Acc by year Graph'!$I$9</c:f>
              <c:strCache>
                <c:ptCount val="1"/>
                <c:pt idx="0">
                  <c:v>Nottingham</c:v>
                </c:pt>
              </c:strCache>
            </c:strRef>
          </c:tx>
          <c:invertIfNegative val="0"/>
          <c:cat>
            <c:strRef>
              <c:f>'Acc by year Graph'!$G$10:$G$14</c:f>
              <c:strCache>
                <c:ptCount val="5"/>
                <c:pt idx="0">
                  <c:v>PBSA</c:v>
                </c:pt>
                <c:pt idx="1">
                  <c:v>Off Street</c:v>
                </c:pt>
                <c:pt idx="2">
                  <c:v>City Centre</c:v>
                </c:pt>
                <c:pt idx="3">
                  <c:v>At Home</c:v>
                </c:pt>
                <c:pt idx="4">
                  <c:v>Outside the city</c:v>
                </c:pt>
              </c:strCache>
            </c:strRef>
          </c:cat>
          <c:val>
            <c:numRef>
              <c:f>'Acc by year Graph'!$I$10:$I$14</c:f>
              <c:numCache>
                <c:formatCode>0.00%</c:formatCode>
                <c:ptCount val="5"/>
                <c:pt idx="0">
                  <c:v>0.747</c:v>
                </c:pt>
                <c:pt idx="1">
                  <c:v>0.115</c:v>
                </c:pt>
                <c:pt idx="2">
                  <c:v>2.3E-2</c:v>
                </c:pt>
                <c:pt idx="3">
                  <c:v>0.04</c:v>
                </c:pt>
                <c:pt idx="4">
                  <c:v>7.4999999999999997E-2</c:v>
                </c:pt>
              </c:numCache>
            </c:numRef>
          </c:val>
        </c:ser>
        <c:dLbls>
          <c:showLegendKey val="0"/>
          <c:showVal val="0"/>
          <c:showCatName val="0"/>
          <c:showSerName val="0"/>
          <c:showPercent val="0"/>
          <c:showBubbleSize val="0"/>
        </c:dLbls>
        <c:gapWidth val="150"/>
        <c:shape val="box"/>
        <c:axId val="78166272"/>
        <c:axId val="78172160"/>
        <c:axId val="0"/>
      </c:bar3DChart>
      <c:catAx>
        <c:axId val="78166272"/>
        <c:scaling>
          <c:orientation val="minMax"/>
        </c:scaling>
        <c:delete val="0"/>
        <c:axPos val="b"/>
        <c:majorTickMark val="out"/>
        <c:minorTickMark val="none"/>
        <c:tickLblPos val="nextTo"/>
        <c:crossAx val="78172160"/>
        <c:crosses val="autoZero"/>
        <c:auto val="1"/>
        <c:lblAlgn val="ctr"/>
        <c:lblOffset val="100"/>
        <c:noMultiLvlLbl val="0"/>
      </c:catAx>
      <c:valAx>
        <c:axId val="78172160"/>
        <c:scaling>
          <c:orientation val="minMax"/>
        </c:scaling>
        <c:delete val="0"/>
        <c:axPos val="l"/>
        <c:majorGridlines/>
        <c:numFmt formatCode="0.00%" sourceLinked="1"/>
        <c:majorTickMark val="out"/>
        <c:minorTickMark val="none"/>
        <c:tickLblPos val="nextTo"/>
        <c:crossAx val="781662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Sheet1!$A$120</c:f>
              <c:strCache>
                <c:ptCount val="1"/>
                <c:pt idx="0">
                  <c:v>Home UG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Sheet1!$B$120:$F$120</c:f>
              <c:numCache>
                <c:formatCode>General</c:formatCode>
                <c:ptCount val="5"/>
                <c:pt idx="0">
                  <c:v>2829</c:v>
                </c:pt>
                <c:pt idx="1">
                  <c:v>2599</c:v>
                </c:pt>
                <c:pt idx="2">
                  <c:v>2691</c:v>
                </c:pt>
                <c:pt idx="3">
                  <c:v>2251</c:v>
                </c:pt>
                <c:pt idx="4">
                  <c:v>2351</c:v>
                </c:pt>
              </c:numCache>
            </c:numRef>
          </c:val>
          <c:smooth val="0"/>
        </c:ser>
        <c:ser>
          <c:idx val="1"/>
          <c:order val="1"/>
          <c:tx>
            <c:strRef>
              <c:f>Sheet1!$A$121</c:f>
              <c:strCache>
                <c:ptCount val="1"/>
                <c:pt idx="0">
                  <c:v>Non-EU UG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Sheet1!$B$121:$F$121</c:f>
              <c:numCache>
                <c:formatCode>General</c:formatCode>
                <c:ptCount val="5"/>
                <c:pt idx="0">
                  <c:v>396</c:v>
                </c:pt>
                <c:pt idx="1">
                  <c:v>379</c:v>
                </c:pt>
                <c:pt idx="2">
                  <c:v>342</c:v>
                </c:pt>
                <c:pt idx="3">
                  <c:v>348</c:v>
                </c:pt>
                <c:pt idx="4">
                  <c:v>357</c:v>
                </c:pt>
              </c:numCache>
            </c:numRef>
          </c:val>
          <c:smooth val="0"/>
        </c:ser>
        <c:ser>
          <c:idx val="2"/>
          <c:order val="2"/>
          <c:tx>
            <c:strRef>
              <c:f>Sheet1!$A$122</c:f>
              <c:strCache>
                <c:ptCount val="1"/>
                <c:pt idx="0">
                  <c:v>Other EU UG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Sheet1!$B$122:$F$122</c:f>
              <c:numCache>
                <c:formatCode>General</c:formatCode>
                <c:ptCount val="5"/>
                <c:pt idx="0">
                  <c:v>231</c:v>
                </c:pt>
                <c:pt idx="1">
                  <c:v>253</c:v>
                </c:pt>
                <c:pt idx="2">
                  <c:v>340</c:v>
                </c:pt>
                <c:pt idx="3">
                  <c:v>172</c:v>
                </c:pt>
                <c:pt idx="4">
                  <c:v>154</c:v>
                </c:pt>
              </c:numCache>
            </c:numRef>
          </c:val>
          <c:smooth val="0"/>
        </c:ser>
        <c:ser>
          <c:idx val="3"/>
          <c:order val="3"/>
          <c:tx>
            <c:strRef>
              <c:f>Sheet1!$A$123</c:f>
              <c:strCache>
                <c:ptCount val="1"/>
                <c:pt idx="0">
                  <c:v>UG total</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Sheet1!$B$123:$F$123</c:f>
              <c:numCache>
                <c:formatCode>General</c:formatCode>
                <c:ptCount val="5"/>
                <c:pt idx="0">
                  <c:v>3456</c:v>
                </c:pt>
                <c:pt idx="1">
                  <c:v>3231</c:v>
                </c:pt>
                <c:pt idx="2">
                  <c:v>3373</c:v>
                </c:pt>
                <c:pt idx="3">
                  <c:v>2771</c:v>
                </c:pt>
                <c:pt idx="4">
                  <c:v>2862</c:v>
                </c:pt>
              </c:numCache>
            </c:numRef>
          </c:val>
          <c:smooth val="0"/>
        </c:ser>
        <c:ser>
          <c:idx val="4"/>
          <c:order val="4"/>
          <c:tx>
            <c:strRef>
              <c:f>Sheet1!$A$124</c:f>
              <c:strCache>
                <c:ptCount val="1"/>
                <c:pt idx="0">
                  <c:v>Home PG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Sheet1!$B$124:$F$124</c:f>
              <c:numCache>
                <c:formatCode>General</c:formatCode>
                <c:ptCount val="5"/>
                <c:pt idx="0">
                  <c:v>189</c:v>
                </c:pt>
                <c:pt idx="1">
                  <c:v>162</c:v>
                </c:pt>
                <c:pt idx="2">
                  <c:v>152</c:v>
                </c:pt>
                <c:pt idx="3">
                  <c:v>144</c:v>
                </c:pt>
                <c:pt idx="4">
                  <c:v>165</c:v>
                </c:pt>
              </c:numCache>
            </c:numRef>
          </c:val>
          <c:smooth val="0"/>
        </c:ser>
        <c:ser>
          <c:idx val="5"/>
          <c:order val="5"/>
          <c:tx>
            <c:strRef>
              <c:f>Sheet1!$A$125</c:f>
              <c:strCache>
                <c:ptCount val="1"/>
                <c:pt idx="0">
                  <c:v>Non-EU PG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Sheet1!$B$125:$F$125</c:f>
              <c:numCache>
                <c:formatCode>General</c:formatCode>
                <c:ptCount val="5"/>
                <c:pt idx="0">
                  <c:v>654</c:v>
                </c:pt>
                <c:pt idx="1">
                  <c:v>651</c:v>
                </c:pt>
                <c:pt idx="2">
                  <c:v>528</c:v>
                </c:pt>
                <c:pt idx="3">
                  <c:v>473</c:v>
                </c:pt>
                <c:pt idx="4">
                  <c:v>330</c:v>
                </c:pt>
              </c:numCache>
            </c:numRef>
          </c:val>
          <c:smooth val="0"/>
        </c:ser>
        <c:ser>
          <c:idx val="6"/>
          <c:order val="6"/>
          <c:tx>
            <c:strRef>
              <c:f>Sheet1!$A$126</c:f>
              <c:strCache>
                <c:ptCount val="1"/>
                <c:pt idx="0">
                  <c:v>Other EU PG</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Sheet1!$B$126:$F$126</c:f>
              <c:numCache>
                <c:formatCode>General</c:formatCode>
                <c:ptCount val="5"/>
                <c:pt idx="0">
                  <c:v>96</c:v>
                </c:pt>
                <c:pt idx="1">
                  <c:v>99</c:v>
                </c:pt>
                <c:pt idx="2">
                  <c:v>110</c:v>
                </c:pt>
                <c:pt idx="3">
                  <c:v>74</c:v>
                </c:pt>
                <c:pt idx="4">
                  <c:v>62</c:v>
                </c:pt>
              </c:numCache>
            </c:numRef>
          </c:val>
          <c:smooth val="0"/>
        </c:ser>
        <c:ser>
          <c:idx val="7"/>
          <c:order val="7"/>
          <c:tx>
            <c:strRef>
              <c:f>Sheet1!$A$127</c:f>
              <c:strCache>
                <c:ptCount val="1"/>
                <c:pt idx="0">
                  <c:v>PG total</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Sheet1!$B$127:$F$127</c:f>
              <c:numCache>
                <c:formatCode>General</c:formatCode>
                <c:ptCount val="5"/>
                <c:pt idx="0">
                  <c:v>939</c:v>
                </c:pt>
                <c:pt idx="1">
                  <c:v>912</c:v>
                </c:pt>
                <c:pt idx="2">
                  <c:v>790</c:v>
                </c:pt>
                <c:pt idx="3">
                  <c:v>691</c:v>
                </c:pt>
                <c:pt idx="4">
                  <c:v>557</c:v>
                </c:pt>
              </c:numCache>
            </c:numRef>
          </c:val>
          <c:smooth val="0"/>
        </c:ser>
        <c:ser>
          <c:idx val="8"/>
          <c:order val="8"/>
          <c:tx>
            <c:strRef>
              <c:f>Sheet1!$A$128</c:f>
              <c:strCache>
                <c:ptCount val="1"/>
                <c:pt idx="0">
                  <c:v>TOTAL</c:v>
                </c:pt>
              </c:strCache>
            </c:strRef>
          </c:tx>
          <c:marker>
            <c:symbol val="none"/>
          </c:marker>
          <c:cat>
            <c:strRef>
              <c:f>Sheet1!$B$119:$F$119</c:f>
              <c:strCache>
                <c:ptCount val="5"/>
                <c:pt idx="0">
                  <c:v>2009/10</c:v>
                </c:pt>
                <c:pt idx="1">
                  <c:v>2010/11</c:v>
                </c:pt>
                <c:pt idx="2">
                  <c:v>2011/12</c:v>
                </c:pt>
                <c:pt idx="3">
                  <c:v>2012/13</c:v>
                </c:pt>
                <c:pt idx="4">
                  <c:v>2013/14</c:v>
                </c:pt>
              </c:strCache>
            </c:strRef>
          </c:cat>
          <c:val>
            <c:numRef>
              <c:f>Sheet1!$B$128:$F$128</c:f>
              <c:numCache>
                <c:formatCode>General</c:formatCode>
                <c:ptCount val="5"/>
                <c:pt idx="0">
                  <c:v>4395</c:v>
                </c:pt>
                <c:pt idx="1">
                  <c:v>4143</c:v>
                </c:pt>
                <c:pt idx="2">
                  <c:v>4163</c:v>
                </c:pt>
                <c:pt idx="3">
                  <c:v>3462</c:v>
                </c:pt>
                <c:pt idx="4">
                  <c:v>3419</c:v>
                </c:pt>
              </c:numCache>
            </c:numRef>
          </c:val>
          <c:smooth val="0"/>
        </c:ser>
        <c:dLbls>
          <c:showLegendKey val="0"/>
          <c:showVal val="0"/>
          <c:showCatName val="0"/>
          <c:showSerName val="0"/>
          <c:showPercent val="0"/>
          <c:showBubbleSize val="0"/>
        </c:dLbls>
        <c:marker val="1"/>
        <c:smooth val="0"/>
        <c:axId val="39623680"/>
        <c:axId val="39629568"/>
      </c:lineChart>
      <c:catAx>
        <c:axId val="39623680"/>
        <c:scaling>
          <c:orientation val="minMax"/>
        </c:scaling>
        <c:delete val="0"/>
        <c:axPos val="b"/>
        <c:majorTickMark val="out"/>
        <c:minorTickMark val="none"/>
        <c:tickLblPos val="nextTo"/>
        <c:crossAx val="39629568"/>
        <c:crosses val="autoZero"/>
        <c:auto val="1"/>
        <c:lblAlgn val="ctr"/>
        <c:lblOffset val="100"/>
        <c:noMultiLvlLbl val="0"/>
      </c:catAx>
      <c:valAx>
        <c:axId val="39629568"/>
        <c:scaling>
          <c:orientation val="minMax"/>
        </c:scaling>
        <c:delete val="0"/>
        <c:axPos val="l"/>
        <c:majorGridlines/>
        <c:numFmt formatCode="General" sourceLinked="1"/>
        <c:majorTickMark val="out"/>
        <c:minorTickMark val="none"/>
        <c:tickLblPos val="nextTo"/>
        <c:crossAx val="396236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Sheet1!$A$76</c:f>
              <c:strCache>
                <c:ptCount val="1"/>
                <c:pt idx="0">
                  <c:v>Home UG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Sheet1!$B$76:$F$76</c:f>
              <c:numCache>
                <c:formatCode>General</c:formatCode>
                <c:ptCount val="5"/>
                <c:pt idx="0">
                  <c:v>6799</c:v>
                </c:pt>
                <c:pt idx="1">
                  <c:v>7228</c:v>
                </c:pt>
                <c:pt idx="2">
                  <c:v>7928</c:v>
                </c:pt>
                <c:pt idx="3">
                  <c:v>7643</c:v>
                </c:pt>
                <c:pt idx="4">
                  <c:v>7447</c:v>
                </c:pt>
              </c:numCache>
            </c:numRef>
          </c:val>
          <c:smooth val="0"/>
        </c:ser>
        <c:ser>
          <c:idx val="1"/>
          <c:order val="1"/>
          <c:tx>
            <c:strRef>
              <c:f>Sheet1!$A$77</c:f>
              <c:strCache>
                <c:ptCount val="1"/>
                <c:pt idx="0">
                  <c:v>Non-EU UG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Sheet1!$B$77:$F$77</c:f>
              <c:numCache>
                <c:formatCode>General</c:formatCode>
                <c:ptCount val="5"/>
                <c:pt idx="0">
                  <c:v>1006</c:v>
                </c:pt>
                <c:pt idx="1">
                  <c:v>956</c:v>
                </c:pt>
                <c:pt idx="2">
                  <c:v>893</c:v>
                </c:pt>
                <c:pt idx="3">
                  <c:v>824</c:v>
                </c:pt>
                <c:pt idx="4">
                  <c:v>798</c:v>
                </c:pt>
              </c:numCache>
            </c:numRef>
          </c:val>
          <c:smooth val="0"/>
        </c:ser>
        <c:ser>
          <c:idx val="2"/>
          <c:order val="2"/>
          <c:tx>
            <c:strRef>
              <c:f>Sheet1!$A$78</c:f>
              <c:strCache>
                <c:ptCount val="1"/>
                <c:pt idx="0">
                  <c:v>Other EU UG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Sheet1!$B$78:$F$78</c:f>
              <c:numCache>
                <c:formatCode>General</c:formatCode>
                <c:ptCount val="5"/>
                <c:pt idx="0">
                  <c:v>742</c:v>
                </c:pt>
                <c:pt idx="1">
                  <c:v>683</c:v>
                </c:pt>
                <c:pt idx="2">
                  <c:v>773</c:v>
                </c:pt>
                <c:pt idx="3">
                  <c:v>695</c:v>
                </c:pt>
                <c:pt idx="4">
                  <c:v>619</c:v>
                </c:pt>
              </c:numCache>
            </c:numRef>
          </c:val>
          <c:smooth val="0"/>
        </c:ser>
        <c:ser>
          <c:idx val="3"/>
          <c:order val="3"/>
          <c:tx>
            <c:strRef>
              <c:f>Sheet1!$A$79</c:f>
              <c:strCache>
                <c:ptCount val="1"/>
                <c:pt idx="0">
                  <c:v>Home PG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Sheet1!$B$79:$F$79</c:f>
              <c:numCache>
                <c:formatCode>General</c:formatCode>
                <c:ptCount val="5"/>
                <c:pt idx="0">
                  <c:v>317</c:v>
                </c:pt>
                <c:pt idx="1">
                  <c:v>295</c:v>
                </c:pt>
                <c:pt idx="2">
                  <c:v>269</c:v>
                </c:pt>
                <c:pt idx="3">
                  <c:v>270</c:v>
                </c:pt>
                <c:pt idx="4">
                  <c:v>295</c:v>
                </c:pt>
              </c:numCache>
            </c:numRef>
          </c:val>
          <c:smooth val="0"/>
        </c:ser>
        <c:ser>
          <c:idx val="4"/>
          <c:order val="4"/>
          <c:tx>
            <c:strRef>
              <c:f>Sheet1!$A$80</c:f>
              <c:strCache>
                <c:ptCount val="1"/>
                <c:pt idx="0">
                  <c:v>Non-EU PG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Sheet1!$B$80:$F$80</c:f>
              <c:numCache>
                <c:formatCode>General</c:formatCode>
                <c:ptCount val="5"/>
                <c:pt idx="0">
                  <c:v>860</c:v>
                </c:pt>
                <c:pt idx="1">
                  <c:v>817</c:v>
                </c:pt>
                <c:pt idx="2">
                  <c:v>674</c:v>
                </c:pt>
                <c:pt idx="3">
                  <c:v>617</c:v>
                </c:pt>
                <c:pt idx="4">
                  <c:v>524</c:v>
                </c:pt>
              </c:numCache>
            </c:numRef>
          </c:val>
          <c:smooth val="0"/>
        </c:ser>
        <c:ser>
          <c:idx val="5"/>
          <c:order val="5"/>
          <c:tx>
            <c:strRef>
              <c:f>Sheet1!$A$81</c:f>
              <c:strCache>
                <c:ptCount val="1"/>
                <c:pt idx="0">
                  <c:v>Other EU PG</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Sheet1!$B$81:$F$81</c:f>
              <c:numCache>
                <c:formatCode>General</c:formatCode>
                <c:ptCount val="5"/>
                <c:pt idx="0">
                  <c:v>119</c:v>
                </c:pt>
                <c:pt idx="1">
                  <c:v>136</c:v>
                </c:pt>
                <c:pt idx="2">
                  <c:v>137</c:v>
                </c:pt>
                <c:pt idx="3">
                  <c:v>96</c:v>
                </c:pt>
                <c:pt idx="4">
                  <c:v>83</c:v>
                </c:pt>
              </c:numCache>
            </c:numRef>
          </c:val>
          <c:smooth val="0"/>
        </c:ser>
        <c:ser>
          <c:idx val="6"/>
          <c:order val="6"/>
          <c:tx>
            <c:strRef>
              <c:f>Sheet1!$A$82</c:f>
              <c:strCache>
                <c:ptCount val="1"/>
                <c:pt idx="0">
                  <c:v>TOTAL</c:v>
                </c:pt>
              </c:strCache>
            </c:strRef>
          </c:tx>
          <c:marker>
            <c:symbol val="none"/>
          </c:marker>
          <c:cat>
            <c:strRef>
              <c:f>Sheet1!$B$75:$F$75</c:f>
              <c:strCache>
                <c:ptCount val="5"/>
                <c:pt idx="0">
                  <c:v>2009/10</c:v>
                </c:pt>
                <c:pt idx="1">
                  <c:v>2010/11</c:v>
                </c:pt>
                <c:pt idx="2">
                  <c:v>2011/12</c:v>
                </c:pt>
                <c:pt idx="3">
                  <c:v>2012/13</c:v>
                </c:pt>
                <c:pt idx="4">
                  <c:v>2013/14</c:v>
                </c:pt>
              </c:strCache>
            </c:strRef>
          </c:cat>
          <c:val>
            <c:numRef>
              <c:f>Sheet1!$B$82:$F$82</c:f>
              <c:numCache>
                <c:formatCode>General</c:formatCode>
                <c:ptCount val="5"/>
                <c:pt idx="0">
                  <c:v>9843</c:v>
                </c:pt>
                <c:pt idx="1">
                  <c:v>10115</c:v>
                </c:pt>
                <c:pt idx="2">
                  <c:v>10674</c:v>
                </c:pt>
                <c:pt idx="3">
                  <c:v>10145</c:v>
                </c:pt>
                <c:pt idx="4">
                  <c:v>9766</c:v>
                </c:pt>
              </c:numCache>
            </c:numRef>
          </c:val>
          <c:smooth val="0"/>
        </c:ser>
        <c:dLbls>
          <c:showLegendKey val="0"/>
          <c:showVal val="0"/>
          <c:showCatName val="0"/>
          <c:showSerName val="0"/>
          <c:showPercent val="0"/>
          <c:showBubbleSize val="0"/>
        </c:dLbls>
        <c:marker val="1"/>
        <c:smooth val="0"/>
        <c:axId val="65393792"/>
        <c:axId val="65395328"/>
      </c:lineChart>
      <c:catAx>
        <c:axId val="65393792"/>
        <c:scaling>
          <c:orientation val="minMax"/>
        </c:scaling>
        <c:delete val="0"/>
        <c:axPos val="b"/>
        <c:majorTickMark val="out"/>
        <c:minorTickMark val="none"/>
        <c:tickLblPos val="nextTo"/>
        <c:crossAx val="65395328"/>
        <c:crosses val="autoZero"/>
        <c:auto val="1"/>
        <c:lblAlgn val="ctr"/>
        <c:lblOffset val="100"/>
        <c:noMultiLvlLbl val="0"/>
      </c:catAx>
      <c:valAx>
        <c:axId val="65395328"/>
        <c:scaling>
          <c:orientation val="minMax"/>
        </c:scaling>
        <c:delete val="0"/>
        <c:axPos val="l"/>
        <c:majorGridlines/>
        <c:numFmt formatCode="General" sourceLinked="1"/>
        <c:majorTickMark val="out"/>
        <c:minorTickMark val="none"/>
        <c:tickLblPos val="nextTo"/>
        <c:crossAx val="6539379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Sheet1!$A$3</c:f>
              <c:strCache>
                <c:ptCount val="1"/>
                <c:pt idx="0">
                  <c:v>West Yorkshire</c:v>
                </c:pt>
              </c:strCache>
            </c:strRef>
          </c:tx>
          <c:marker>
            <c:symbol val="none"/>
          </c:marker>
          <c:cat>
            <c:strRef>
              <c:f>Sheet1!$B$2:$F$2</c:f>
              <c:strCache>
                <c:ptCount val="5"/>
                <c:pt idx="0">
                  <c:v>2009/10</c:v>
                </c:pt>
                <c:pt idx="1">
                  <c:v>2010/11</c:v>
                </c:pt>
                <c:pt idx="2">
                  <c:v>2011/12</c:v>
                </c:pt>
                <c:pt idx="3">
                  <c:v>2012/13</c:v>
                </c:pt>
                <c:pt idx="4">
                  <c:v>2013/14</c:v>
                </c:pt>
              </c:strCache>
            </c:strRef>
          </c:cat>
          <c:val>
            <c:numRef>
              <c:f>Sheet1!$B$3:$F$3</c:f>
              <c:numCache>
                <c:formatCode>General</c:formatCode>
                <c:ptCount val="5"/>
                <c:pt idx="0">
                  <c:v>4817</c:v>
                </c:pt>
                <c:pt idx="1">
                  <c:v>4891</c:v>
                </c:pt>
                <c:pt idx="2">
                  <c:v>5177</c:v>
                </c:pt>
                <c:pt idx="3">
                  <c:v>5043</c:v>
                </c:pt>
                <c:pt idx="4">
                  <c:v>4993</c:v>
                </c:pt>
              </c:numCache>
            </c:numRef>
          </c:val>
          <c:smooth val="0"/>
        </c:ser>
        <c:ser>
          <c:idx val="1"/>
          <c:order val="1"/>
          <c:tx>
            <c:strRef>
              <c:f>Sheet1!$A$4</c:f>
              <c:strCache>
                <c:ptCount val="1"/>
                <c:pt idx="0">
                  <c:v>Outside W Yorks</c:v>
                </c:pt>
              </c:strCache>
            </c:strRef>
          </c:tx>
          <c:marker>
            <c:symbol val="none"/>
          </c:marker>
          <c:cat>
            <c:strRef>
              <c:f>Sheet1!$B$2:$F$2</c:f>
              <c:strCache>
                <c:ptCount val="5"/>
                <c:pt idx="0">
                  <c:v>2009/10</c:v>
                </c:pt>
                <c:pt idx="1">
                  <c:v>2010/11</c:v>
                </c:pt>
                <c:pt idx="2">
                  <c:v>2011/12</c:v>
                </c:pt>
                <c:pt idx="3">
                  <c:v>2012/13</c:v>
                </c:pt>
                <c:pt idx="4">
                  <c:v>2013/14</c:v>
                </c:pt>
              </c:strCache>
            </c:strRef>
          </c:cat>
          <c:val>
            <c:numRef>
              <c:f>Sheet1!$B$4:$F$4</c:f>
              <c:numCache>
                <c:formatCode>General</c:formatCode>
                <c:ptCount val="5"/>
                <c:pt idx="0">
                  <c:v>5026</c:v>
                </c:pt>
                <c:pt idx="1">
                  <c:v>5224</c:v>
                </c:pt>
                <c:pt idx="2">
                  <c:v>5497</c:v>
                </c:pt>
                <c:pt idx="3">
                  <c:v>5102</c:v>
                </c:pt>
                <c:pt idx="4">
                  <c:v>4773</c:v>
                </c:pt>
              </c:numCache>
            </c:numRef>
          </c:val>
          <c:smooth val="0"/>
        </c:ser>
        <c:dLbls>
          <c:showLegendKey val="0"/>
          <c:showVal val="0"/>
          <c:showCatName val="0"/>
          <c:showSerName val="0"/>
          <c:showPercent val="0"/>
          <c:showBubbleSize val="0"/>
        </c:dLbls>
        <c:marker val="1"/>
        <c:smooth val="0"/>
        <c:axId val="39500800"/>
        <c:axId val="40530688"/>
      </c:lineChart>
      <c:catAx>
        <c:axId val="39500800"/>
        <c:scaling>
          <c:orientation val="minMax"/>
        </c:scaling>
        <c:delete val="0"/>
        <c:axPos val="b"/>
        <c:majorTickMark val="out"/>
        <c:minorTickMark val="none"/>
        <c:tickLblPos val="nextTo"/>
        <c:crossAx val="40530688"/>
        <c:crosses val="autoZero"/>
        <c:auto val="1"/>
        <c:lblAlgn val="ctr"/>
        <c:lblOffset val="100"/>
        <c:noMultiLvlLbl val="0"/>
      </c:catAx>
      <c:valAx>
        <c:axId val="40530688"/>
        <c:scaling>
          <c:orientation val="minMax"/>
        </c:scaling>
        <c:delete val="0"/>
        <c:axPos val="l"/>
        <c:majorGridlines/>
        <c:numFmt formatCode="General" sourceLinked="1"/>
        <c:majorTickMark val="out"/>
        <c:minorTickMark val="none"/>
        <c:tickLblPos val="nextTo"/>
        <c:crossAx val="395008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Sheet1!$A$135</c:f>
              <c:strCache>
                <c:ptCount val="1"/>
                <c:pt idx="0">
                  <c:v>Home UG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Sheet1!$B$135:$F$135</c:f>
              <c:numCache>
                <c:formatCode>General</c:formatCode>
                <c:ptCount val="5"/>
                <c:pt idx="0">
                  <c:v>6972</c:v>
                </c:pt>
                <c:pt idx="1">
                  <c:v>6868</c:v>
                </c:pt>
                <c:pt idx="2">
                  <c:v>6992</c:v>
                </c:pt>
                <c:pt idx="3">
                  <c:v>7087</c:v>
                </c:pt>
                <c:pt idx="4">
                  <c:v>7220</c:v>
                </c:pt>
              </c:numCache>
            </c:numRef>
          </c:val>
          <c:smooth val="0"/>
        </c:ser>
        <c:ser>
          <c:idx val="1"/>
          <c:order val="1"/>
          <c:tx>
            <c:strRef>
              <c:f>Sheet1!$A$136</c:f>
              <c:strCache>
                <c:ptCount val="1"/>
                <c:pt idx="0">
                  <c:v>Non-EU UG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Sheet1!$B$136:$F$136</c:f>
              <c:numCache>
                <c:formatCode>General</c:formatCode>
                <c:ptCount val="5"/>
                <c:pt idx="0">
                  <c:v>775</c:v>
                </c:pt>
                <c:pt idx="1">
                  <c:v>843</c:v>
                </c:pt>
                <c:pt idx="2">
                  <c:v>906</c:v>
                </c:pt>
                <c:pt idx="3">
                  <c:v>977</c:v>
                </c:pt>
                <c:pt idx="4">
                  <c:v>1078</c:v>
                </c:pt>
              </c:numCache>
            </c:numRef>
          </c:val>
          <c:smooth val="0"/>
        </c:ser>
        <c:ser>
          <c:idx val="2"/>
          <c:order val="2"/>
          <c:tx>
            <c:strRef>
              <c:f>Sheet1!$A$137</c:f>
              <c:strCache>
                <c:ptCount val="1"/>
                <c:pt idx="0">
                  <c:v>Other EU UG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Sheet1!$B$137:$F$137</c:f>
              <c:numCache>
                <c:formatCode>General</c:formatCode>
                <c:ptCount val="5"/>
                <c:pt idx="0">
                  <c:v>579</c:v>
                </c:pt>
                <c:pt idx="1">
                  <c:v>571</c:v>
                </c:pt>
                <c:pt idx="2">
                  <c:v>581</c:v>
                </c:pt>
                <c:pt idx="3">
                  <c:v>589</c:v>
                </c:pt>
                <c:pt idx="4">
                  <c:v>600</c:v>
                </c:pt>
              </c:numCache>
            </c:numRef>
          </c:val>
          <c:smooth val="0"/>
        </c:ser>
        <c:ser>
          <c:idx val="3"/>
          <c:order val="3"/>
          <c:tx>
            <c:strRef>
              <c:f>Sheet1!$A$138</c:f>
              <c:strCache>
                <c:ptCount val="1"/>
                <c:pt idx="0">
                  <c:v>Home PG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Sheet1!$B$138:$F$138</c:f>
              <c:numCache>
                <c:formatCode>General</c:formatCode>
                <c:ptCount val="5"/>
                <c:pt idx="0">
                  <c:v>301</c:v>
                </c:pt>
                <c:pt idx="1">
                  <c:v>340</c:v>
                </c:pt>
                <c:pt idx="2">
                  <c:v>368</c:v>
                </c:pt>
                <c:pt idx="3">
                  <c:v>395</c:v>
                </c:pt>
                <c:pt idx="4">
                  <c:v>422</c:v>
                </c:pt>
              </c:numCache>
            </c:numRef>
          </c:val>
          <c:smooth val="0"/>
        </c:ser>
        <c:ser>
          <c:idx val="4"/>
          <c:order val="4"/>
          <c:tx>
            <c:strRef>
              <c:f>Sheet1!$A$139</c:f>
              <c:strCache>
                <c:ptCount val="1"/>
                <c:pt idx="0">
                  <c:v>Non-EU PG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Sheet1!$B$139:$F$139</c:f>
              <c:numCache>
                <c:formatCode>General</c:formatCode>
                <c:ptCount val="5"/>
                <c:pt idx="0">
                  <c:v>594</c:v>
                </c:pt>
                <c:pt idx="1">
                  <c:v>638</c:v>
                </c:pt>
                <c:pt idx="2">
                  <c:v>678</c:v>
                </c:pt>
                <c:pt idx="3">
                  <c:v>723</c:v>
                </c:pt>
                <c:pt idx="4">
                  <c:v>768</c:v>
                </c:pt>
              </c:numCache>
            </c:numRef>
          </c:val>
          <c:smooth val="0"/>
        </c:ser>
        <c:ser>
          <c:idx val="5"/>
          <c:order val="5"/>
          <c:tx>
            <c:strRef>
              <c:f>Sheet1!$A$140</c:f>
              <c:strCache>
                <c:ptCount val="1"/>
                <c:pt idx="0">
                  <c:v>Other EU PG</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Sheet1!$B$140:$F$140</c:f>
              <c:numCache>
                <c:formatCode>General</c:formatCode>
                <c:ptCount val="5"/>
                <c:pt idx="0">
                  <c:v>85</c:v>
                </c:pt>
                <c:pt idx="1">
                  <c:v>96</c:v>
                </c:pt>
                <c:pt idx="2">
                  <c:v>103</c:v>
                </c:pt>
                <c:pt idx="3">
                  <c:v>111</c:v>
                </c:pt>
                <c:pt idx="4">
                  <c:v>119</c:v>
                </c:pt>
              </c:numCache>
            </c:numRef>
          </c:val>
          <c:smooth val="0"/>
        </c:ser>
        <c:ser>
          <c:idx val="6"/>
          <c:order val="6"/>
          <c:tx>
            <c:strRef>
              <c:f>Sheet1!$A$141</c:f>
              <c:strCache>
                <c:ptCount val="1"/>
                <c:pt idx="0">
                  <c:v>TOTAL</c:v>
                </c:pt>
              </c:strCache>
            </c:strRef>
          </c:tx>
          <c:marker>
            <c:symbol val="none"/>
          </c:marker>
          <c:cat>
            <c:strRef>
              <c:f>Sheet1!$B$134:$F$134</c:f>
              <c:strCache>
                <c:ptCount val="5"/>
                <c:pt idx="0">
                  <c:v>2014/15</c:v>
                </c:pt>
                <c:pt idx="1">
                  <c:v>2015/16</c:v>
                </c:pt>
                <c:pt idx="2">
                  <c:v>2016/17</c:v>
                </c:pt>
                <c:pt idx="3">
                  <c:v>2017/18</c:v>
                </c:pt>
                <c:pt idx="4">
                  <c:v>2018/19</c:v>
                </c:pt>
              </c:strCache>
            </c:strRef>
          </c:cat>
          <c:val>
            <c:numRef>
              <c:f>Sheet1!$B$141:$F$141</c:f>
              <c:numCache>
                <c:formatCode>General</c:formatCode>
                <c:ptCount val="5"/>
                <c:pt idx="0">
                  <c:v>9306</c:v>
                </c:pt>
                <c:pt idx="1">
                  <c:v>9356</c:v>
                </c:pt>
                <c:pt idx="2">
                  <c:v>9628</c:v>
                </c:pt>
                <c:pt idx="3">
                  <c:v>9882</c:v>
                </c:pt>
                <c:pt idx="4">
                  <c:v>10207</c:v>
                </c:pt>
              </c:numCache>
            </c:numRef>
          </c:val>
          <c:smooth val="0"/>
        </c:ser>
        <c:dLbls>
          <c:showLegendKey val="0"/>
          <c:showVal val="0"/>
          <c:showCatName val="0"/>
          <c:showSerName val="0"/>
          <c:showPercent val="0"/>
          <c:showBubbleSize val="0"/>
        </c:dLbls>
        <c:marker val="1"/>
        <c:smooth val="0"/>
        <c:axId val="40560128"/>
        <c:axId val="40561664"/>
      </c:lineChart>
      <c:catAx>
        <c:axId val="40560128"/>
        <c:scaling>
          <c:orientation val="minMax"/>
        </c:scaling>
        <c:delete val="0"/>
        <c:axPos val="b"/>
        <c:majorTickMark val="out"/>
        <c:minorTickMark val="none"/>
        <c:tickLblPos val="nextTo"/>
        <c:crossAx val="40561664"/>
        <c:crosses val="autoZero"/>
        <c:auto val="1"/>
        <c:lblAlgn val="ctr"/>
        <c:lblOffset val="100"/>
        <c:noMultiLvlLbl val="0"/>
      </c:catAx>
      <c:valAx>
        <c:axId val="40561664"/>
        <c:scaling>
          <c:orientation val="minMax"/>
        </c:scaling>
        <c:delete val="0"/>
        <c:axPos val="l"/>
        <c:majorGridlines/>
        <c:numFmt formatCode="General" sourceLinked="1"/>
        <c:majorTickMark val="out"/>
        <c:minorTickMark val="none"/>
        <c:tickLblPos val="nextTo"/>
        <c:crossAx val="405601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Sheet1!$A$3</c:f>
              <c:strCache>
                <c:ptCount val="1"/>
                <c:pt idx="0">
                  <c:v>UK</c:v>
                </c:pt>
              </c:strCache>
            </c:strRef>
          </c:tx>
          <c:marker>
            <c:symbol val="none"/>
          </c:marker>
          <c:cat>
            <c:numRef>
              <c:f>Sheet1!$B$2:$F$2</c:f>
              <c:numCache>
                <c:formatCode>General</c:formatCode>
                <c:ptCount val="5"/>
                <c:pt idx="0">
                  <c:v>2009</c:v>
                </c:pt>
                <c:pt idx="1">
                  <c:v>2010</c:v>
                </c:pt>
                <c:pt idx="2">
                  <c:v>2011</c:v>
                </c:pt>
                <c:pt idx="3">
                  <c:v>2012</c:v>
                </c:pt>
                <c:pt idx="4">
                  <c:v>2013</c:v>
                </c:pt>
              </c:numCache>
            </c:numRef>
          </c:cat>
          <c:val>
            <c:numRef>
              <c:f>Sheet1!$B$3:$F$3</c:f>
              <c:numCache>
                <c:formatCode>General</c:formatCode>
                <c:ptCount val="5"/>
                <c:pt idx="0">
                  <c:v>920</c:v>
                </c:pt>
                <c:pt idx="1">
                  <c:v>835</c:v>
                </c:pt>
                <c:pt idx="2">
                  <c:v>890</c:v>
                </c:pt>
                <c:pt idx="3">
                  <c:v>825</c:v>
                </c:pt>
                <c:pt idx="4">
                  <c:v>750</c:v>
                </c:pt>
              </c:numCache>
            </c:numRef>
          </c:val>
          <c:smooth val="0"/>
        </c:ser>
        <c:ser>
          <c:idx val="1"/>
          <c:order val="1"/>
          <c:tx>
            <c:strRef>
              <c:f>Sheet1!$A$4</c:f>
              <c:strCache>
                <c:ptCount val="1"/>
                <c:pt idx="0">
                  <c:v>EU</c:v>
                </c:pt>
              </c:strCache>
            </c:strRef>
          </c:tx>
          <c:marker>
            <c:symbol val="none"/>
          </c:marker>
          <c:cat>
            <c:numRef>
              <c:f>Sheet1!$B$2:$F$2</c:f>
              <c:numCache>
                <c:formatCode>General</c:formatCode>
                <c:ptCount val="5"/>
                <c:pt idx="0">
                  <c:v>2009</c:v>
                </c:pt>
                <c:pt idx="1">
                  <c:v>2010</c:v>
                </c:pt>
                <c:pt idx="2">
                  <c:v>2011</c:v>
                </c:pt>
                <c:pt idx="3">
                  <c:v>2012</c:v>
                </c:pt>
                <c:pt idx="4">
                  <c:v>2013</c:v>
                </c:pt>
              </c:numCache>
            </c:numRef>
          </c:cat>
          <c:val>
            <c:numRef>
              <c:f>Sheet1!$B$4:$F$4</c:f>
              <c:numCache>
                <c:formatCode>General</c:formatCode>
                <c:ptCount val="5"/>
                <c:pt idx="0">
                  <c:v>5</c:v>
                </c:pt>
                <c:pt idx="1">
                  <c:v>5</c:v>
                </c:pt>
                <c:pt idx="2">
                  <c:v>10</c:v>
                </c:pt>
                <c:pt idx="3">
                  <c:v>5</c:v>
                </c:pt>
                <c:pt idx="4">
                  <c:v>5</c:v>
                </c:pt>
              </c:numCache>
            </c:numRef>
          </c:val>
          <c:smooth val="0"/>
        </c:ser>
        <c:ser>
          <c:idx val="2"/>
          <c:order val="2"/>
          <c:tx>
            <c:strRef>
              <c:f>Sheet1!$A$5</c:f>
              <c:strCache>
                <c:ptCount val="1"/>
                <c:pt idx="0">
                  <c:v>International</c:v>
                </c:pt>
              </c:strCache>
            </c:strRef>
          </c:tx>
          <c:marker>
            <c:symbol val="none"/>
          </c:marker>
          <c:cat>
            <c:numRef>
              <c:f>Sheet1!$B$2:$F$2</c:f>
              <c:numCache>
                <c:formatCode>General</c:formatCode>
                <c:ptCount val="5"/>
                <c:pt idx="0">
                  <c:v>2009</c:v>
                </c:pt>
                <c:pt idx="1">
                  <c:v>2010</c:v>
                </c:pt>
                <c:pt idx="2">
                  <c:v>2011</c:v>
                </c:pt>
                <c:pt idx="3">
                  <c:v>2012</c:v>
                </c:pt>
                <c:pt idx="4">
                  <c:v>2013</c:v>
                </c:pt>
              </c:numCache>
            </c:numRef>
          </c:cat>
          <c:val>
            <c:numRef>
              <c:f>Sheet1!$B$5:$F$5</c:f>
              <c:numCache>
                <c:formatCode>General</c:formatCode>
                <c:ptCount val="5"/>
                <c:pt idx="0">
                  <c:v>55</c:v>
                </c:pt>
                <c:pt idx="1">
                  <c:v>100</c:v>
                </c:pt>
                <c:pt idx="2">
                  <c:v>5</c:v>
                </c:pt>
                <c:pt idx="3">
                  <c:v>10</c:v>
                </c:pt>
                <c:pt idx="4">
                  <c:v>25</c:v>
                </c:pt>
              </c:numCache>
            </c:numRef>
          </c:val>
          <c:smooth val="0"/>
        </c:ser>
        <c:ser>
          <c:idx val="3"/>
          <c:order val="3"/>
          <c:tx>
            <c:strRef>
              <c:f>Sheet1!$A$6</c:f>
              <c:strCache>
                <c:ptCount val="1"/>
                <c:pt idx="0">
                  <c:v>TOTAL</c:v>
                </c:pt>
              </c:strCache>
            </c:strRef>
          </c:tx>
          <c:marker>
            <c:symbol val="none"/>
          </c:marker>
          <c:cat>
            <c:numRef>
              <c:f>Sheet1!$B$2:$F$2</c:f>
              <c:numCache>
                <c:formatCode>General</c:formatCode>
                <c:ptCount val="5"/>
                <c:pt idx="0">
                  <c:v>2009</c:v>
                </c:pt>
                <c:pt idx="1">
                  <c:v>2010</c:v>
                </c:pt>
                <c:pt idx="2">
                  <c:v>2011</c:v>
                </c:pt>
                <c:pt idx="3">
                  <c:v>2012</c:v>
                </c:pt>
                <c:pt idx="4">
                  <c:v>2013</c:v>
                </c:pt>
              </c:numCache>
            </c:numRef>
          </c:cat>
          <c:val>
            <c:numRef>
              <c:f>Sheet1!$B$6:$F$6</c:f>
              <c:numCache>
                <c:formatCode>General</c:formatCode>
                <c:ptCount val="5"/>
                <c:pt idx="0">
                  <c:v>980</c:v>
                </c:pt>
                <c:pt idx="1">
                  <c:v>940</c:v>
                </c:pt>
                <c:pt idx="2">
                  <c:v>905</c:v>
                </c:pt>
                <c:pt idx="3">
                  <c:v>840</c:v>
                </c:pt>
                <c:pt idx="4">
                  <c:v>780</c:v>
                </c:pt>
              </c:numCache>
            </c:numRef>
          </c:val>
          <c:smooth val="0"/>
        </c:ser>
        <c:dLbls>
          <c:showLegendKey val="0"/>
          <c:showVal val="0"/>
          <c:showCatName val="0"/>
          <c:showSerName val="0"/>
          <c:showPercent val="0"/>
          <c:showBubbleSize val="0"/>
        </c:dLbls>
        <c:marker val="1"/>
        <c:smooth val="0"/>
        <c:axId val="77935360"/>
        <c:axId val="77936896"/>
      </c:lineChart>
      <c:catAx>
        <c:axId val="77935360"/>
        <c:scaling>
          <c:orientation val="minMax"/>
        </c:scaling>
        <c:delete val="0"/>
        <c:axPos val="b"/>
        <c:numFmt formatCode="General" sourceLinked="1"/>
        <c:majorTickMark val="out"/>
        <c:minorTickMark val="none"/>
        <c:tickLblPos val="nextTo"/>
        <c:crossAx val="77936896"/>
        <c:crosses val="autoZero"/>
        <c:auto val="1"/>
        <c:lblAlgn val="ctr"/>
        <c:lblOffset val="100"/>
        <c:noMultiLvlLbl val="0"/>
      </c:catAx>
      <c:valAx>
        <c:axId val="77936896"/>
        <c:scaling>
          <c:orientation val="minMax"/>
        </c:scaling>
        <c:delete val="0"/>
        <c:axPos val="l"/>
        <c:majorGridlines/>
        <c:numFmt formatCode="General" sourceLinked="1"/>
        <c:majorTickMark val="out"/>
        <c:minorTickMark val="none"/>
        <c:tickLblPos val="nextTo"/>
        <c:crossAx val="779353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Sheet1!$A$3</c:f>
              <c:strCache>
                <c:ptCount val="1"/>
                <c:pt idx="0">
                  <c:v>UK</c:v>
                </c:pt>
              </c:strCache>
            </c:strRef>
          </c:tx>
          <c:marker>
            <c:symbol val="none"/>
          </c:marker>
          <c:cat>
            <c:strRef>
              <c:f>Sheet1!$B$2:$F$2</c:f>
              <c:strCache>
                <c:ptCount val="5"/>
                <c:pt idx="0">
                  <c:v>2009/10</c:v>
                </c:pt>
                <c:pt idx="1">
                  <c:v>2010/11</c:v>
                </c:pt>
                <c:pt idx="2">
                  <c:v>2011/12</c:v>
                </c:pt>
                <c:pt idx="3">
                  <c:v>2012/13</c:v>
                </c:pt>
                <c:pt idx="4">
                  <c:v>2013/14</c:v>
                </c:pt>
              </c:strCache>
            </c:strRef>
          </c:cat>
          <c:val>
            <c:numRef>
              <c:f>Sheet1!$B$3:$F$3</c:f>
              <c:numCache>
                <c:formatCode>General</c:formatCode>
                <c:ptCount val="5"/>
                <c:pt idx="0">
                  <c:v>3938</c:v>
                </c:pt>
                <c:pt idx="1">
                  <c:v>3596</c:v>
                </c:pt>
                <c:pt idx="2">
                  <c:v>3733</c:v>
                </c:pt>
                <c:pt idx="3">
                  <c:v>3220</c:v>
                </c:pt>
                <c:pt idx="4">
                  <c:v>3266</c:v>
                </c:pt>
              </c:numCache>
            </c:numRef>
          </c:val>
          <c:smooth val="0"/>
        </c:ser>
        <c:ser>
          <c:idx val="1"/>
          <c:order val="1"/>
          <c:tx>
            <c:strRef>
              <c:f>Sheet1!$A$4</c:f>
              <c:strCache>
                <c:ptCount val="1"/>
                <c:pt idx="0">
                  <c:v>Other EU</c:v>
                </c:pt>
              </c:strCache>
            </c:strRef>
          </c:tx>
          <c:marker>
            <c:symbol val="none"/>
          </c:marker>
          <c:cat>
            <c:strRef>
              <c:f>Sheet1!$B$2:$F$2</c:f>
              <c:strCache>
                <c:ptCount val="5"/>
                <c:pt idx="0">
                  <c:v>2009/10</c:v>
                </c:pt>
                <c:pt idx="1">
                  <c:v>2010/11</c:v>
                </c:pt>
                <c:pt idx="2">
                  <c:v>2011/12</c:v>
                </c:pt>
                <c:pt idx="3">
                  <c:v>2012/13</c:v>
                </c:pt>
                <c:pt idx="4">
                  <c:v>2013/14</c:v>
                </c:pt>
              </c:strCache>
            </c:strRef>
          </c:cat>
          <c:val>
            <c:numRef>
              <c:f>Sheet1!$B$4:$F$4</c:f>
              <c:numCache>
                <c:formatCode>General</c:formatCode>
                <c:ptCount val="5"/>
                <c:pt idx="0">
                  <c:v>332</c:v>
                </c:pt>
                <c:pt idx="1">
                  <c:v>357</c:v>
                </c:pt>
                <c:pt idx="2">
                  <c:v>460</c:v>
                </c:pt>
                <c:pt idx="3">
                  <c:v>251</c:v>
                </c:pt>
                <c:pt idx="4">
                  <c:v>241</c:v>
                </c:pt>
              </c:numCache>
            </c:numRef>
          </c:val>
          <c:smooth val="0"/>
        </c:ser>
        <c:ser>
          <c:idx val="2"/>
          <c:order val="2"/>
          <c:tx>
            <c:strRef>
              <c:f>Sheet1!$A$5</c:f>
              <c:strCache>
                <c:ptCount val="1"/>
                <c:pt idx="0">
                  <c:v>non-EU </c:v>
                </c:pt>
              </c:strCache>
            </c:strRef>
          </c:tx>
          <c:marker>
            <c:symbol val="none"/>
          </c:marker>
          <c:cat>
            <c:strRef>
              <c:f>Sheet1!$B$2:$F$2</c:f>
              <c:strCache>
                <c:ptCount val="5"/>
                <c:pt idx="0">
                  <c:v>2009/10</c:v>
                </c:pt>
                <c:pt idx="1">
                  <c:v>2010/11</c:v>
                </c:pt>
                <c:pt idx="2">
                  <c:v>2011/12</c:v>
                </c:pt>
                <c:pt idx="3">
                  <c:v>2012/13</c:v>
                </c:pt>
                <c:pt idx="4">
                  <c:v>2013/14</c:v>
                </c:pt>
              </c:strCache>
            </c:strRef>
          </c:cat>
          <c:val>
            <c:numRef>
              <c:f>Sheet1!$B$5:$F$5</c:f>
              <c:numCache>
                <c:formatCode>General</c:formatCode>
                <c:ptCount val="5"/>
                <c:pt idx="0">
                  <c:v>1155</c:v>
                </c:pt>
                <c:pt idx="1">
                  <c:v>1130</c:v>
                </c:pt>
                <c:pt idx="2">
                  <c:v>875</c:v>
                </c:pt>
                <c:pt idx="3">
                  <c:v>831</c:v>
                </c:pt>
                <c:pt idx="4">
                  <c:v>712</c:v>
                </c:pt>
              </c:numCache>
            </c:numRef>
          </c:val>
          <c:smooth val="0"/>
        </c:ser>
        <c:ser>
          <c:idx val="3"/>
          <c:order val="3"/>
          <c:tx>
            <c:strRef>
              <c:f>Sheet1!$A$6</c:f>
              <c:strCache>
                <c:ptCount val="1"/>
                <c:pt idx="0">
                  <c:v>TOTAL</c:v>
                </c:pt>
              </c:strCache>
            </c:strRef>
          </c:tx>
          <c:marker>
            <c:symbol val="none"/>
          </c:marker>
          <c:cat>
            <c:strRef>
              <c:f>Sheet1!$B$2:$F$2</c:f>
              <c:strCache>
                <c:ptCount val="5"/>
                <c:pt idx="0">
                  <c:v>2009/10</c:v>
                </c:pt>
                <c:pt idx="1">
                  <c:v>2010/11</c:v>
                </c:pt>
                <c:pt idx="2">
                  <c:v>2011/12</c:v>
                </c:pt>
                <c:pt idx="3">
                  <c:v>2012/13</c:v>
                </c:pt>
                <c:pt idx="4">
                  <c:v>2013/14</c:v>
                </c:pt>
              </c:strCache>
            </c:strRef>
          </c:cat>
          <c:val>
            <c:numRef>
              <c:f>Sheet1!$B$6:$F$6</c:f>
              <c:numCache>
                <c:formatCode>General</c:formatCode>
                <c:ptCount val="5"/>
                <c:pt idx="0">
                  <c:v>5425</c:v>
                </c:pt>
                <c:pt idx="1">
                  <c:v>5083</c:v>
                </c:pt>
                <c:pt idx="2">
                  <c:v>5068</c:v>
                </c:pt>
                <c:pt idx="3">
                  <c:v>4302</c:v>
                </c:pt>
                <c:pt idx="4">
                  <c:v>4219</c:v>
                </c:pt>
              </c:numCache>
            </c:numRef>
          </c:val>
          <c:smooth val="0"/>
        </c:ser>
        <c:dLbls>
          <c:showLegendKey val="0"/>
          <c:showVal val="0"/>
          <c:showCatName val="0"/>
          <c:showSerName val="0"/>
          <c:showPercent val="0"/>
          <c:showBubbleSize val="0"/>
        </c:dLbls>
        <c:marker val="1"/>
        <c:smooth val="0"/>
        <c:axId val="78008704"/>
        <c:axId val="78010240"/>
      </c:lineChart>
      <c:catAx>
        <c:axId val="78008704"/>
        <c:scaling>
          <c:orientation val="minMax"/>
        </c:scaling>
        <c:delete val="0"/>
        <c:axPos val="b"/>
        <c:majorTickMark val="out"/>
        <c:minorTickMark val="none"/>
        <c:tickLblPos val="nextTo"/>
        <c:crossAx val="78010240"/>
        <c:crosses val="autoZero"/>
        <c:auto val="1"/>
        <c:lblAlgn val="ctr"/>
        <c:lblOffset val="100"/>
        <c:noMultiLvlLbl val="0"/>
      </c:catAx>
      <c:valAx>
        <c:axId val="78010240"/>
        <c:scaling>
          <c:orientation val="minMax"/>
        </c:scaling>
        <c:delete val="0"/>
        <c:axPos val="l"/>
        <c:majorGridlines/>
        <c:numFmt formatCode="General" sourceLinked="1"/>
        <c:majorTickMark val="out"/>
        <c:minorTickMark val="none"/>
        <c:tickLblPos val="nextTo"/>
        <c:crossAx val="780087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Sheet1!$A$13</c:f>
              <c:strCache>
                <c:ptCount val="1"/>
                <c:pt idx="0">
                  <c:v>Bradford % of UK total</c:v>
                </c:pt>
              </c:strCache>
            </c:strRef>
          </c:tx>
          <c:marker>
            <c:symbol val="none"/>
          </c:marker>
          <c:cat>
            <c:numRef>
              <c:f>Sheet1!$B$12:$F$12</c:f>
              <c:numCache>
                <c:formatCode>General</c:formatCode>
                <c:ptCount val="5"/>
                <c:pt idx="0">
                  <c:v>2009</c:v>
                </c:pt>
                <c:pt idx="1">
                  <c:v>2010</c:v>
                </c:pt>
                <c:pt idx="2">
                  <c:v>2011</c:v>
                </c:pt>
                <c:pt idx="3">
                  <c:v>2012</c:v>
                </c:pt>
                <c:pt idx="4">
                  <c:v>2013</c:v>
                </c:pt>
              </c:numCache>
            </c:numRef>
          </c:cat>
          <c:val>
            <c:numRef>
              <c:f>Sheet1!$B$13:$F$13</c:f>
              <c:numCache>
                <c:formatCode>General</c:formatCode>
                <c:ptCount val="5"/>
                <c:pt idx="0">
                  <c:v>0.90069999999999995</c:v>
                </c:pt>
                <c:pt idx="1">
                  <c:v>0.89470000000000005</c:v>
                </c:pt>
                <c:pt idx="2">
                  <c:v>0.87090000000000001</c:v>
                </c:pt>
                <c:pt idx="3">
                  <c:v>0.7722</c:v>
                </c:pt>
                <c:pt idx="4">
                  <c:v>0.73650000000000004</c:v>
                </c:pt>
              </c:numCache>
            </c:numRef>
          </c:val>
          <c:smooth val="0"/>
        </c:ser>
        <c:ser>
          <c:idx val="1"/>
          <c:order val="1"/>
          <c:tx>
            <c:strRef>
              <c:f>Sheet1!$A$14</c:f>
              <c:strCache>
                <c:ptCount val="1"/>
                <c:pt idx="0">
                  <c:v>Bradford % of Y&amp;H total</c:v>
                </c:pt>
              </c:strCache>
            </c:strRef>
          </c:tx>
          <c:marker>
            <c:symbol val="none"/>
          </c:marker>
          <c:cat>
            <c:numRef>
              <c:f>Sheet1!$B$12:$F$12</c:f>
              <c:numCache>
                <c:formatCode>General</c:formatCode>
                <c:ptCount val="5"/>
                <c:pt idx="0">
                  <c:v>2009</c:v>
                </c:pt>
                <c:pt idx="1">
                  <c:v>2010</c:v>
                </c:pt>
                <c:pt idx="2">
                  <c:v>2011</c:v>
                </c:pt>
                <c:pt idx="3">
                  <c:v>2012</c:v>
                </c:pt>
                <c:pt idx="4">
                  <c:v>2013</c:v>
                </c:pt>
              </c:numCache>
            </c:numRef>
          </c:cat>
          <c:val>
            <c:numRef>
              <c:f>Sheet1!$B$14:$F$14</c:f>
              <c:numCache>
                <c:formatCode>General</c:formatCode>
                <c:ptCount val="5"/>
                <c:pt idx="0">
                  <c:v>8.6944000000000017</c:v>
                </c:pt>
                <c:pt idx="1">
                  <c:v>8.5896000000000008</c:v>
                </c:pt>
                <c:pt idx="2">
                  <c:v>8.2373999999999992</c:v>
                </c:pt>
                <c:pt idx="3">
                  <c:v>7.4942000000000002</c:v>
                </c:pt>
                <c:pt idx="4">
                  <c:v>7.2385000000000002</c:v>
                </c:pt>
              </c:numCache>
            </c:numRef>
          </c:val>
          <c:smooth val="0"/>
        </c:ser>
        <c:ser>
          <c:idx val="2"/>
          <c:order val="2"/>
          <c:tx>
            <c:strRef>
              <c:f>Sheet1!$A$15</c:f>
              <c:strCache>
                <c:ptCount val="1"/>
                <c:pt idx="0">
                  <c:v>Y&amp;H % of UK total</c:v>
                </c:pt>
              </c:strCache>
            </c:strRef>
          </c:tx>
          <c:marker>
            <c:symbol val="none"/>
          </c:marker>
          <c:cat>
            <c:numRef>
              <c:f>Sheet1!$B$12:$F$12</c:f>
              <c:numCache>
                <c:formatCode>General</c:formatCode>
                <c:ptCount val="5"/>
                <c:pt idx="0">
                  <c:v>2009</c:v>
                </c:pt>
                <c:pt idx="1">
                  <c:v>2010</c:v>
                </c:pt>
                <c:pt idx="2">
                  <c:v>2011</c:v>
                </c:pt>
                <c:pt idx="3">
                  <c:v>2012</c:v>
                </c:pt>
                <c:pt idx="4">
                  <c:v>2013</c:v>
                </c:pt>
              </c:numCache>
            </c:numRef>
          </c:cat>
          <c:val>
            <c:numRef>
              <c:f>Sheet1!$B$15:$F$15</c:f>
              <c:numCache>
                <c:formatCode>General</c:formatCode>
                <c:ptCount val="5"/>
                <c:pt idx="0">
                  <c:v>10.359400000000001</c:v>
                </c:pt>
                <c:pt idx="1">
                  <c:v>10.415800000000001</c:v>
                </c:pt>
                <c:pt idx="2">
                  <c:v>10.5723</c:v>
                </c:pt>
                <c:pt idx="3">
                  <c:v>10.303900000000001</c:v>
                </c:pt>
                <c:pt idx="4">
                  <c:v>10.1746</c:v>
                </c:pt>
              </c:numCache>
            </c:numRef>
          </c:val>
          <c:smooth val="0"/>
        </c:ser>
        <c:dLbls>
          <c:showLegendKey val="0"/>
          <c:showVal val="0"/>
          <c:showCatName val="0"/>
          <c:showSerName val="0"/>
          <c:showPercent val="0"/>
          <c:showBubbleSize val="0"/>
        </c:dLbls>
        <c:marker val="1"/>
        <c:smooth val="0"/>
        <c:axId val="78019968"/>
        <c:axId val="78046336"/>
      </c:lineChart>
      <c:catAx>
        <c:axId val="78019968"/>
        <c:scaling>
          <c:orientation val="minMax"/>
        </c:scaling>
        <c:delete val="0"/>
        <c:axPos val="b"/>
        <c:numFmt formatCode="General" sourceLinked="1"/>
        <c:majorTickMark val="out"/>
        <c:minorTickMark val="none"/>
        <c:tickLblPos val="nextTo"/>
        <c:crossAx val="78046336"/>
        <c:crosses val="autoZero"/>
        <c:auto val="1"/>
        <c:lblAlgn val="ctr"/>
        <c:lblOffset val="100"/>
        <c:noMultiLvlLbl val="0"/>
      </c:catAx>
      <c:valAx>
        <c:axId val="78046336"/>
        <c:scaling>
          <c:orientation val="minMax"/>
        </c:scaling>
        <c:delete val="0"/>
        <c:axPos val="l"/>
        <c:majorGridlines/>
        <c:numFmt formatCode="General" sourceLinked="1"/>
        <c:majorTickMark val="out"/>
        <c:minorTickMark val="none"/>
        <c:tickLblPos val="nextTo"/>
        <c:crossAx val="780199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c:f>
              <c:strCache>
                <c:ptCount val="1"/>
                <c:pt idx="0">
                  <c:v>2008</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Sheet1!$B$3:$B$13</c:f>
              <c:numCache>
                <c:formatCode>General</c:formatCode>
                <c:ptCount val="11"/>
                <c:pt idx="0">
                  <c:v>8.49</c:v>
                </c:pt>
                <c:pt idx="1">
                  <c:v>15.08</c:v>
                </c:pt>
                <c:pt idx="2">
                  <c:v>1.82</c:v>
                </c:pt>
                <c:pt idx="3">
                  <c:v>15.36</c:v>
                </c:pt>
                <c:pt idx="4">
                  <c:v>6.31</c:v>
                </c:pt>
                <c:pt idx="5">
                  <c:v>1.47</c:v>
                </c:pt>
                <c:pt idx="6">
                  <c:v>10.029999999999999</c:v>
                </c:pt>
                <c:pt idx="7">
                  <c:v>16.329999999999991</c:v>
                </c:pt>
                <c:pt idx="8">
                  <c:v>9.7200000000000024</c:v>
                </c:pt>
                <c:pt idx="9">
                  <c:v>6.47</c:v>
                </c:pt>
                <c:pt idx="10">
                  <c:v>2.81</c:v>
                </c:pt>
              </c:numCache>
            </c:numRef>
          </c:val>
        </c:ser>
        <c:ser>
          <c:idx val="1"/>
          <c:order val="1"/>
          <c:tx>
            <c:strRef>
              <c:f>Sheet1!$C$2</c:f>
              <c:strCache>
                <c:ptCount val="1"/>
                <c:pt idx="0">
                  <c:v>2009</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Sheet1!$C$3:$C$13</c:f>
              <c:numCache>
                <c:formatCode>General</c:formatCode>
                <c:ptCount val="11"/>
                <c:pt idx="0">
                  <c:v>8.82</c:v>
                </c:pt>
                <c:pt idx="1">
                  <c:v>13.4</c:v>
                </c:pt>
                <c:pt idx="2">
                  <c:v>1.7</c:v>
                </c:pt>
                <c:pt idx="3">
                  <c:v>14.31</c:v>
                </c:pt>
                <c:pt idx="4">
                  <c:v>6.73</c:v>
                </c:pt>
                <c:pt idx="5">
                  <c:v>1.96</c:v>
                </c:pt>
                <c:pt idx="6">
                  <c:v>10.39</c:v>
                </c:pt>
                <c:pt idx="7">
                  <c:v>16.27</c:v>
                </c:pt>
                <c:pt idx="8">
                  <c:v>9.92</c:v>
                </c:pt>
                <c:pt idx="9">
                  <c:v>7.03</c:v>
                </c:pt>
                <c:pt idx="10">
                  <c:v>2.73</c:v>
                </c:pt>
              </c:numCache>
            </c:numRef>
          </c:val>
        </c:ser>
        <c:ser>
          <c:idx val="2"/>
          <c:order val="2"/>
          <c:tx>
            <c:strRef>
              <c:f>Sheet1!$D$2</c:f>
              <c:strCache>
                <c:ptCount val="1"/>
                <c:pt idx="0">
                  <c:v>2010</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Sheet1!$D$3:$D$13</c:f>
              <c:numCache>
                <c:formatCode>General</c:formatCode>
                <c:ptCount val="11"/>
                <c:pt idx="0">
                  <c:v>8.7900000000000009</c:v>
                </c:pt>
                <c:pt idx="1">
                  <c:v>14.18</c:v>
                </c:pt>
                <c:pt idx="2">
                  <c:v>1.72</c:v>
                </c:pt>
                <c:pt idx="3">
                  <c:v>14.7</c:v>
                </c:pt>
                <c:pt idx="4">
                  <c:v>6.74</c:v>
                </c:pt>
                <c:pt idx="5">
                  <c:v>1.86</c:v>
                </c:pt>
                <c:pt idx="6">
                  <c:v>9.9499999999999993</c:v>
                </c:pt>
                <c:pt idx="7">
                  <c:v>15.84</c:v>
                </c:pt>
                <c:pt idx="8">
                  <c:v>9.31</c:v>
                </c:pt>
                <c:pt idx="9">
                  <c:v>7.74</c:v>
                </c:pt>
                <c:pt idx="10">
                  <c:v>2.71</c:v>
                </c:pt>
              </c:numCache>
            </c:numRef>
          </c:val>
        </c:ser>
        <c:ser>
          <c:idx val="3"/>
          <c:order val="3"/>
          <c:tx>
            <c:strRef>
              <c:f>Sheet1!$E$2</c:f>
              <c:strCache>
                <c:ptCount val="1"/>
                <c:pt idx="0">
                  <c:v>2011</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Sheet1!$E$3:$E$13</c:f>
              <c:numCache>
                <c:formatCode>General</c:formatCode>
                <c:ptCount val="11"/>
                <c:pt idx="0">
                  <c:v>9.35</c:v>
                </c:pt>
                <c:pt idx="1">
                  <c:v>15.54</c:v>
                </c:pt>
                <c:pt idx="2">
                  <c:v>1.74</c:v>
                </c:pt>
                <c:pt idx="3">
                  <c:v>13.16</c:v>
                </c:pt>
                <c:pt idx="4">
                  <c:v>6.45</c:v>
                </c:pt>
                <c:pt idx="5">
                  <c:v>1.88</c:v>
                </c:pt>
                <c:pt idx="6">
                  <c:v>9.99</c:v>
                </c:pt>
                <c:pt idx="7">
                  <c:v>15.78</c:v>
                </c:pt>
                <c:pt idx="8">
                  <c:v>9.3800000000000008</c:v>
                </c:pt>
                <c:pt idx="9">
                  <c:v>7.1099999999999994</c:v>
                </c:pt>
                <c:pt idx="10">
                  <c:v>2.87</c:v>
                </c:pt>
              </c:numCache>
            </c:numRef>
          </c:val>
        </c:ser>
        <c:ser>
          <c:idx val="4"/>
          <c:order val="4"/>
          <c:tx>
            <c:strRef>
              <c:f>Sheet1!$F$2</c:f>
              <c:strCache>
                <c:ptCount val="1"/>
                <c:pt idx="0">
                  <c:v>2012</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Sheet1!$F$3:$F$13</c:f>
              <c:numCache>
                <c:formatCode>General</c:formatCode>
                <c:ptCount val="11"/>
                <c:pt idx="0">
                  <c:v>10.36</c:v>
                </c:pt>
                <c:pt idx="1">
                  <c:v>13.08</c:v>
                </c:pt>
                <c:pt idx="2">
                  <c:v>1.82</c:v>
                </c:pt>
                <c:pt idx="3">
                  <c:v>13.42</c:v>
                </c:pt>
                <c:pt idx="4">
                  <c:v>5.74</c:v>
                </c:pt>
                <c:pt idx="5">
                  <c:v>1.75</c:v>
                </c:pt>
                <c:pt idx="6">
                  <c:v>9.83</c:v>
                </c:pt>
                <c:pt idx="7">
                  <c:v>15.5</c:v>
                </c:pt>
                <c:pt idx="8">
                  <c:v>9.09</c:v>
                </c:pt>
                <c:pt idx="9">
                  <c:v>7.83</c:v>
                </c:pt>
                <c:pt idx="10">
                  <c:v>3.42</c:v>
                </c:pt>
              </c:numCache>
            </c:numRef>
          </c:val>
        </c:ser>
        <c:ser>
          <c:idx val="5"/>
          <c:order val="5"/>
          <c:tx>
            <c:strRef>
              <c:f>Sheet1!$G$2</c:f>
              <c:strCache>
                <c:ptCount val="1"/>
                <c:pt idx="0">
                  <c:v>2013</c:v>
                </c:pt>
              </c:strCache>
            </c:strRef>
          </c:tx>
          <c:invertIfNegative val="0"/>
          <c:cat>
            <c:strRef>
              <c:f>Sheet1!$A$3:$A$13</c:f>
              <c:strCache>
                <c:ptCount val="11"/>
                <c:pt idx="0">
                  <c:v>Hudd'd</c:v>
                </c:pt>
                <c:pt idx="1">
                  <c:v>Leeds Beckett</c:v>
                </c:pt>
                <c:pt idx="2">
                  <c:v>Leeds Trinity</c:v>
                </c:pt>
                <c:pt idx="3">
                  <c:v>Univ of Leeds</c:v>
                </c:pt>
                <c:pt idx="4">
                  <c:v>Univ of B'ford</c:v>
                </c:pt>
                <c:pt idx="5">
                  <c:v>B'ford College</c:v>
                </c:pt>
                <c:pt idx="6">
                  <c:v>Univ of Sheffield</c:v>
                </c:pt>
                <c:pt idx="7">
                  <c:v>Sheffield Hallam</c:v>
                </c:pt>
                <c:pt idx="8">
                  <c:v>Univ of Hull</c:v>
                </c:pt>
                <c:pt idx="9">
                  <c:v>Univ of York</c:v>
                </c:pt>
                <c:pt idx="10">
                  <c:v>York St John</c:v>
                </c:pt>
              </c:strCache>
            </c:strRef>
          </c:cat>
          <c:val>
            <c:numRef>
              <c:f>Sheet1!$G$3:$G$13</c:f>
              <c:numCache>
                <c:formatCode>General</c:formatCode>
                <c:ptCount val="11"/>
                <c:pt idx="0">
                  <c:v>8.7000000000000011</c:v>
                </c:pt>
                <c:pt idx="1">
                  <c:v>14.57</c:v>
                </c:pt>
                <c:pt idx="2">
                  <c:v>2.02</c:v>
                </c:pt>
                <c:pt idx="3">
                  <c:v>13.51</c:v>
                </c:pt>
                <c:pt idx="4">
                  <c:v>5.6899999999999986</c:v>
                </c:pt>
                <c:pt idx="5">
                  <c:v>1.55</c:v>
                </c:pt>
                <c:pt idx="6">
                  <c:v>10.76</c:v>
                </c:pt>
                <c:pt idx="7">
                  <c:v>14.8</c:v>
                </c:pt>
                <c:pt idx="8">
                  <c:v>8.56</c:v>
                </c:pt>
                <c:pt idx="9">
                  <c:v>8.02</c:v>
                </c:pt>
                <c:pt idx="10">
                  <c:v>3.71</c:v>
                </c:pt>
              </c:numCache>
            </c:numRef>
          </c:val>
        </c:ser>
        <c:dLbls>
          <c:showLegendKey val="0"/>
          <c:showVal val="0"/>
          <c:showCatName val="0"/>
          <c:showSerName val="0"/>
          <c:showPercent val="0"/>
          <c:showBubbleSize val="0"/>
        </c:dLbls>
        <c:gapWidth val="150"/>
        <c:axId val="78115584"/>
        <c:axId val="78117120"/>
      </c:barChart>
      <c:catAx>
        <c:axId val="78115584"/>
        <c:scaling>
          <c:orientation val="minMax"/>
        </c:scaling>
        <c:delete val="0"/>
        <c:axPos val="b"/>
        <c:numFmt formatCode="General" sourceLinked="1"/>
        <c:majorTickMark val="out"/>
        <c:minorTickMark val="none"/>
        <c:tickLblPos val="nextTo"/>
        <c:crossAx val="78117120"/>
        <c:crosses val="autoZero"/>
        <c:auto val="1"/>
        <c:lblAlgn val="ctr"/>
        <c:lblOffset val="100"/>
        <c:noMultiLvlLbl val="0"/>
      </c:catAx>
      <c:valAx>
        <c:axId val="78117120"/>
        <c:scaling>
          <c:orientation val="minMax"/>
        </c:scaling>
        <c:delete val="0"/>
        <c:axPos val="l"/>
        <c:majorGridlines/>
        <c:numFmt formatCode="General" sourceLinked="1"/>
        <c:majorTickMark val="out"/>
        <c:minorTickMark val="none"/>
        <c:tickLblPos val="nextTo"/>
        <c:crossAx val="78115584"/>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D7E87-9A06-4321-A536-50AEF548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413AF7B6</Template>
  <TotalTime>0</TotalTime>
  <Pages>60</Pages>
  <Words>21274</Words>
  <Characters>121263</Characters>
  <Application>Microsoft Office Word</Application>
  <DocSecurity>4</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Unipol Student Homes</Company>
  <LinksUpToDate>false</LinksUpToDate>
  <CharactersWithSpaces>142253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Megan Kearney</cp:lastModifiedBy>
  <cp:revision>2</cp:revision>
  <dcterms:created xsi:type="dcterms:W3CDTF">2014-11-13T11:36:00Z</dcterms:created>
  <dcterms:modified xsi:type="dcterms:W3CDTF">2014-11-13T11:36:00Z</dcterms:modified>
</cp:coreProperties>
</file>